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F32BD3" w14:textId="1699E909" w:rsidR="005A55FE" w:rsidRDefault="005A55FE" w:rsidP="003D39D5">
      <w:pPr>
        <w:jc w:val="center"/>
        <w:rPr>
          <w:b/>
          <w:color w:val="4F81BD"/>
          <w:sz w:val="48"/>
        </w:rPr>
      </w:pPr>
      <w:bookmarkStart w:id="0" w:name="_Toc359852808"/>
      <w:r>
        <w:rPr>
          <w:noProof/>
        </w:rPr>
        <w:drawing>
          <wp:inline distT="0" distB="0" distL="0" distR="0" wp14:anchorId="24F28189" wp14:editId="0BF90E37">
            <wp:extent cx="2560320" cy="782320"/>
            <wp:effectExtent l="0" t="0" r="0" b="0"/>
            <wp:docPr id="1" name="Picture 4" descr="Description: logo_2012_cmyk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ogo_2012_cmyk_newta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782320"/>
                    </a:xfrm>
                    <a:prstGeom prst="rect">
                      <a:avLst/>
                    </a:prstGeom>
                    <a:noFill/>
                    <a:ln>
                      <a:noFill/>
                    </a:ln>
                  </pic:spPr>
                </pic:pic>
              </a:graphicData>
            </a:graphic>
          </wp:inline>
        </w:drawing>
      </w:r>
    </w:p>
    <w:p w14:paraId="2AE4FB8C" w14:textId="77777777" w:rsidR="005A55FE" w:rsidRDefault="005A55FE" w:rsidP="005A55FE">
      <w:pPr>
        <w:jc w:val="center"/>
        <w:rPr>
          <w:b/>
          <w:color w:val="4F81BD"/>
          <w:sz w:val="48"/>
        </w:rPr>
      </w:pPr>
    </w:p>
    <w:p w14:paraId="782EF7BB" w14:textId="61F5D1D3" w:rsidR="005A55FE" w:rsidRDefault="005A55FE" w:rsidP="005A55FE">
      <w:pPr>
        <w:jc w:val="center"/>
        <w:rPr>
          <w:b/>
          <w:color w:val="4F81BD"/>
          <w:sz w:val="48"/>
        </w:rPr>
      </w:pPr>
      <w:r w:rsidRPr="00B22AEE">
        <w:rPr>
          <w:b/>
          <w:color w:val="4F81BD"/>
          <w:sz w:val="48"/>
        </w:rPr>
        <w:t xml:space="preserve">Puget Sound </w:t>
      </w:r>
      <w:r>
        <w:rPr>
          <w:b/>
          <w:color w:val="4F81BD"/>
          <w:sz w:val="48"/>
        </w:rPr>
        <w:t>Pressures Assessment Methodology</w:t>
      </w:r>
    </w:p>
    <w:p w14:paraId="3CE2C3A6" w14:textId="77777777" w:rsidR="005A55FE" w:rsidRPr="00B22AEE" w:rsidRDefault="005A55FE" w:rsidP="005A55FE">
      <w:pPr>
        <w:jc w:val="center"/>
        <w:rPr>
          <w:b/>
          <w:color w:val="4F81BD"/>
          <w:sz w:val="48"/>
        </w:rPr>
      </w:pPr>
    </w:p>
    <w:p w14:paraId="3207B870" w14:textId="77777777" w:rsidR="005A55FE" w:rsidRDefault="005A55FE" w:rsidP="003D39D5">
      <w:pPr>
        <w:rPr>
          <w:sz w:val="32"/>
        </w:rPr>
      </w:pPr>
    </w:p>
    <w:p w14:paraId="6D3B7AD3" w14:textId="77777777" w:rsidR="005A55FE" w:rsidRDefault="005A55FE" w:rsidP="005A55FE">
      <w:pPr>
        <w:jc w:val="center"/>
        <w:rPr>
          <w:sz w:val="32"/>
        </w:rPr>
      </w:pPr>
    </w:p>
    <w:p w14:paraId="1DE3DE33" w14:textId="212A0032" w:rsidR="005A55FE" w:rsidRPr="00D205CB" w:rsidRDefault="005A55FE" w:rsidP="005A55FE">
      <w:pPr>
        <w:jc w:val="center"/>
        <w:rPr>
          <w:sz w:val="32"/>
        </w:rPr>
      </w:pPr>
      <w:r w:rsidRPr="00D205CB">
        <w:rPr>
          <w:sz w:val="32"/>
        </w:rPr>
        <w:t>Puget Sound Partnership</w:t>
      </w:r>
      <w:r w:rsidRPr="00D205CB">
        <w:rPr>
          <w:b/>
          <w:sz w:val="32"/>
        </w:rPr>
        <w:t xml:space="preserve"> </w:t>
      </w:r>
      <w:r w:rsidRPr="00D205CB">
        <w:rPr>
          <w:sz w:val="32"/>
        </w:rPr>
        <w:t>Technical Report 201</w:t>
      </w:r>
      <w:r>
        <w:rPr>
          <w:sz w:val="32"/>
        </w:rPr>
        <w:t>4</w:t>
      </w:r>
      <w:r w:rsidRPr="00D205CB">
        <w:rPr>
          <w:sz w:val="32"/>
        </w:rPr>
        <w:t>-</w:t>
      </w:r>
      <w:r w:rsidR="0053246D">
        <w:rPr>
          <w:sz w:val="32"/>
        </w:rPr>
        <w:t>0</w:t>
      </w:r>
      <w:bookmarkStart w:id="1" w:name="_GoBack"/>
      <w:bookmarkEnd w:id="1"/>
      <w:r w:rsidR="0053246D">
        <w:rPr>
          <w:sz w:val="32"/>
        </w:rPr>
        <w:t>2</w:t>
      </w:r>
    </w:p>
    <w:p w14:paraId="49D01395" w14:textId="526C2A25" w:rsidR="005A55FE" w:rsidRDefault="005A55FE" w:rsidP="005A55FE">
      <w:pPr>
        <w:jc w:val="center"/>
      </w:pPr>
      <w:r>
        <w:t>March 2014</w:t>
      </w:r>
    </w:p>
    <w:p w14:paraId="4E8C18CA" w14:textId="77777777" w:rsidR="005A55FE" w:rsidRDefault="005A55FE" w:rsidP="005A55FE">
      <w:pPr>
        <w:jc w:val="center"/>
      </w:pPr>
    </w:p>
    <w:p w14:paraId="6F9FD92B" w14:textId="77777777" w:rsidR="005A55FE" w:rsidRDefault="005A55FE" w:rsidP="005A55FE">
      <w:pPr>
        <w:jc w:val="center"/>
      </w:pPr>
    </w:p>
    <w:p w14:paraId="654829D4" w14:textId="5D9500CE" w:rsidR="007F6CA3" w:rsidRPr="007F6CA3" w:rsidRDefault="007F6CA3" w:rsidP="007F6CA3">
      <w:pPr>
        <w:jc w:val="center"/>
        <w:rPr>
          <w:sz w:val="20"/>
          <w:vertAlign w:val="superscript"/>
        </w:rPr>
      </w:pPr>
      <w:r>
        <w:rPr>
          <w:sz w:val="20"/>
        </w:rPr>
        <w:t>William Labiosa</w:t>
      </w:r>
      <w:r>
        <w:rPr>
          <w:sz w:val="20"/>
          <w:vertAlign w:val="superscript"/>
        </w:rPr>
        <w:t>1, 2</w:t>
      </w:r>
      <w:r>
        <w:rPr>
          <w:sz w:val="20"/>
        </w:rPr>
        <w:t>,</w:t>
      </w:r>
      <w:r w:rsidRPr="007F6CA3">
        <w:rPr>
          <w:sz w:val="20"/>
        </w:rPr>
        <w:t xml:space="preserve"> Wayne Landis</w:t>
      </w:r>
      <w:r>
        <w:rPr>
          <w:sz w:val="20"/>
          <w:vertAlign w:val="superscript"/>
        </w:rPr>
        <w:t>2, 3</w:t>
      </w:r>
      <w:r w:rsidRPr="007F6CA3">
        <w:rPr>
          <w:sz w:val="20"/>
        </w:rPr>
        <w:t>, Timothy Quinn</w:t>
      </w:r>
      <w:r>
        <w:rPr>
          <w:sz w:val="20"/>
          <w:vertAlign w:val="superscript"/>
        </w:rPr>
        <w:t>2, 4</w:t>
      </w:r>
      <w:r w:rsidRPr="007F6CA3">
        <w:rPr>
          <w:sz w:val="20"/>
        </w:rPr>
        <w:t>, Robert Johnston</w:t>
      </w:r>
      <w:r>
        <w:rPr>
          <w:sz w:val="20"/>
          <w:vertAlign w:val="superscript"/>
        </w:rPr>
        <w:t>2, 5</w:t>
      </w:r>
      <w:r w:rsidRPr="007F6CA3">
        <w:rPr>
          <w:sz w:val="20"/>
        </w:rPr>
        <w:t>, Kenneth Currens</w:t>
      </w:r>
      <w:r>
        <w:rPr>
          <w:sz w:val="20"/>
          <w:vertAlign w:val="superscript"/>
        </w:rPr>
        <w:t>2, 6</w:t>
      </w:r>
      <w:r w:rsidRPr="007F6CA3">
        <w:rPr>
          <w:sz w:val="20"/>
        </w:rPr>
        <w:t>, Scott Redman</w:t>
      </w:r>
      <w:r w:rsidR="003D39D5">
        <w:rPr>
          <w:sz w:val="20"/>
          <w:vertAlign w:val="superscript"/>
        </w:rPr>
        <w:t>7</w:t>
      </w:r>
      <w:r w:rsidRPr="007F6CA3">
        <w:rPr>
          <w:sz w:val="20"/>
        </w:rPr>
        <w:t xml:space="preserve">, </w:t>
      </w:r>
      <w:r>
        <w:rPr>
          <w:sz w:val="20"/>
        </w:rPr>
        <w:t>and Richard Anderson</w:t>
      </w:r>
      <w:r w:rsidR="003D39D5">
        <w:rPr>
          <w:sz w:val="20"/>
          <w:vertAlign w:val="superscript"/>
        </w:rPr>
        <w:t>8</w:t>
      </w:r>
    </w:p>
    <w:p w14:paraId="5FE75EC9" w14:textId="77777777" w:rsidR="005A55FE" w:rsidRDefault="005A55FE" w:rsidP="005A55FE">
      <w:pPr>
        <w:jc w:val="center"/>
        <w:rPr>
          <w:sz w:val="20"/>
        </w:rPr>
      </w:pPr>
    </w:p>
    <w:p w14:paraId="6C8C7D16" w14:textId="0661C2A7" w:rsidR="007F6CA3" w:rsidRDefault="007F6CA3" w:rsidP="003D39D5">
      <w:pPr>
        <w:spacing w:line="240" w:lineRule="auto"/>
        <w:jc w:val="center"/>
        <w:rPr>
          <w:sz w:val="20"/>
        </w:rPr>
      </w:pPr>
      <w:r>
        <w:rPr>
          <w:sz w:val="20"/>
          <w:vertAlign w:val="superscript"/>
        </w:rPr>
        <w:t>1</w:t>
      </w:r>
      <w:r>
        <w:rPr>
          <w:sz w:val="20"/>
        </w:rPr>
        <w:t>U.S. Geological Survey, Northwest Regional Office</w:t>
      </w:r>
    </w:p>
    <w:p w14:paraId="2EE3FE7B" w14:textId="021A58ED" w:rsidR="007F6CA3" w:rsidRDefault="007F6CA3" w:rsidP="003D39D5">
      <w:pPr>
        <w:spacing w:line="240" w:lineRule="auto"/>
        <w:jc w:val="center"/>
        <w:rPr>
          <w:sz w:val="20"/>
        </w:rPr>
      </w:pPr>
      <w:r>
        <w:rPr>
          <w:sz w:val="20"/>
          <w:vertAlign w:val="superscript"/>
        </w:rPr>
        <w:t>2</w:t>
      </w:r>
      <w:r>
        <w:rPr>
          <w:sz w:val="20"/>
        </w:rPr>
        <w:t>Puget Sound Partnership Science Panel</w:t>
      </w:r>
    </w:p>
    <w:p w14:paraId="47D23664" w14:textId="4151935C" w:rsidR="007F6CA3" w:rsidRDefault="007F6CA3" w:rsidP="003D39D5">
      <w:pPr>
        <w:spacing w:line="240" w:lineRule="auto"/>
        <w:jc w:val="center"/>
        <w:rPr>
          <w:sz w:val="20"/>
        </w:rPr>
      </w:pPr>
      <w:r>
        <w:rPr>
          <w:sz w:val="20"/>
          <w:vertAlign w:val="superscript"/>
        </w:rPr>
        <w:t>3</w:t>
      </w:r>
      <w:r>
        <w:rPr>
          <w:sz w:val="20"/>
        </w:rPr>
        <w:t xml:space="preserve">Western Washington University, </w:t>
      </w:r>
      <w:r w:rsidRPr="007F6CA3">
        <w:rPr>
          <w:sz w:val="20"/>
        </w:rPr>
        <w:t>Huxley College of the Environment</w:t>
      </w:r>
    </w:p>
    <w:p w14:paraId="02B7DCE4" w14:textId="31CD699D" w:rsidR="007F6CA3" w:rsidRDefault="007F6CA3" w:rsidP="003D39D5">
      <w:pPr>
        <w:spacing w:line="240" w:lineRule="auto"/>
        <w:jc w:val="center"/>
        <w:rPr>
          <w:sz w:val="20"/>
        </w:rPr>
      </w:pPr>
      <w:r>
        <w:rPr>
          <w:sz w:val="20"/>
          <w:vertAlign w:val="superscript"/>
        </w:rPr>
        <w:t>4</w:t>
      </w:r>
      <w:r>
        <w:rPr>
          <w:sz w:val="20"/>
        </w:rPr>
        <w:t>Washington Department of Fish and Wildlife, Habitat Program</w:t>
      </w:r>
    </w:p>
    <w:p w14:paraId="57DC31DD" w14:textId="362E2623" w:rsidR="007F6CA3" w:rsidRPr="007F6CA3" w:rsidRDefault="007F6CA3" w:rsidP="003D39D5">
      <w:pPr>
        <w:spacing w:line="240" w:lineRule="auto"/>
        <w:jc w:val="center"/>
        <w:rPr>
          <w:sz w:val="20"/>
        </w:rPr>
      </w:pPr>
      <w:r>
        <w:rPr>
          <w:sz w:val="20"/>
          <w:vertAlign w:val="superscript"/>
        </w:rPr>
        <w:t>5</w:t>
      </w:r>
      <w:r>
        <w:rPr>
          <w:sz w:val="20"/>
        </w:rPr>
        <w:t>U.S. Navy, Marine Environmental Support Office</w:t>
      </w:r>
    </w:p>
    <w:p w14:paraId="52874D0E" w14:textId="2ACBF687" w:rsidR="007F6CA3" w:rsidRPr="007F6CA3" w:rsidRDefault="003D39D5" w:rsidP="003D39D5">
      <w:pPr>
        <w:spacing w:line="240" w:lineRule="auto"/>
        <w:jc w:val="center"/>
        <w:rPr>
          <w:sz w:val="20"/>
        </w:rPr>
      </w:pPr>
      <w:r>
        <w:rPr>
          <w:sz w:val="20"/>
          <w:vertAlign w:val="superscript"/>
        </w:rPr>
        <w:t>6</w:t>
      </w:r>
      <w:r w:rsidR="007F6CA3">
        <w:rPr>
          <w:sz w:val="20"/>
        </w:rPr>
        <w:t>Northwest Indian Fisheries Commission</w:t>
      </w:r>
      <w:r>
        <w:rPr>
          <w:sz w:val="20"/>
        </w:rPr>
        <w:t>, Conservation Program</w:t>
      </w:r>
    </w:p>
    <w:p w14:paraId="4A2C1CFC" w14:textId="6DBD6A0A" w:rsidR="005A55FE" w:rsidRPr="00083483" w:rsidRDefault="007F6CA3" w:rsidP="003D39D5">
      <w:pPr>
        <w:spacing w:line="240" w:lineRule="auto"/>
        <w:jc w:val="center"/>
        <w:rPr>
          <w:sz w:val="20"/>
        </w:rPr>
      </w:pPr>
      <w:r>
        <w:rPr>
          <w:sz w:val="20"/>
          <w:vertAlign w:val="superscript"/>
        </w:rPr>
        <w:t>6</w:t>
      </w:r>
      <w:r w:rsidR="005A55FE" w:rsidRPr="00083483">
        <w:rPr>
          <w:sz w:val="20"/>
        </w:rPr>
        <w:t>Puget Sound Partnership</w:t>
      </w:r>
      <w:r w:rsidR="003D39D5">
        <w:rPr>
          <w:sz w:val="20"/>
        </w:rPr>
        <w:t>, Science and Technical Resources</w:t>
      </w:r>
    </w:p>
    <w:p w14:paraId="1960D2D4" w14:textId="526068B3" w:rsidR="005A55FE" w:rsidRDefault="007F6CA3" w:rsidP="003D39D5">
      <w:pPr>
        <w:spacing w:line="240" w:lineRule="auto"/>
        <w:jc w:val="center"/>
        <w:rPr>
          <w:sz w:val="20"/>
        </w:rPr>
      </w:pPr>
      <w:r>
        <w:rPr>
          <w:sz w:val="20"/>
          <w:vertAlign w:val="superscript"/>
        </w:rPr>
        <w:t>7</w:t>
      </w:r>
      <w:r w:rsidR="005A55FE" w:rsidRPr="00083483">
        <w:rPr>
          <w:sz w:val="20"/>
        </w:rPr>
        <w:t>Puget Sound Institute</w:t>
      </w:r>
    </w:p>
    <w:p w14:paraId="337D13C8" w14:textId="606CBDEA" w:rsidR="007F6CA3" w:rsidRPr="007F6CA3" w:rsidRDefault="005A55FE" w:rsidP="007F6CA3">
      <w:pPr>
        <w:pStyle w:val="TOCHeading"/>
        <w:rPr>
          <w:rFonts w:eastAsia="Times New Roman" w:cs="Times New Roman"/>
          <w:b w:val="0"/>
          <w:bCs w:val="0"/>
          <w:color w:val="000000"/>
          <w:sz w:val="22"/>
          <w:szCs w:val="22"/>
          <w:lang w:eastAsia="en-US"/>
        </w:rPr>
      </w:pPr>
      <w:r>
        <w:rPr>
          <w:sz w:val="20"/>
          <w:szCs w:val="22"/>
        </w:rPr>
        <w:br w:type="page"/>
      </w:r>
      <w:r w:rsidR="007F6CA3" w:rsidRPr="005214C3">
        <w:rPr>
          <w:b w:val="0"/>
          <w:sz w:val="22"/>
          <w:szCs w:val="22"/>
        </w:rPr>
        <w:lastRenderedPageBreak/>
        <w:t>About this document</w:t>
      </w:r>
    </w:p>
    <w:p w14:paraId="084F36CB" w14:textId="77777777" w:rsidR="005A55FE" w:rsidRDefault="005A55FE" w:rsidP="005A55FE">
      <w:pPr>
        <w:sectPr w:rsidR="005A55FE" w:rsidSect="005A55FE">
          <w:headerReference w:type="even" r:id="rId10"/>
          <w:footerReference w:type="even" r:id="rId11"/>
          <w:footerReference w:type="default" r:id="rId12"/>
          <w:footerReference w:type="first" r:id="rId13"/>
          <w:pgSz w:w="12240" w:h="15840"/>
          <w:pgMar w:top="1440" w:right="1440" w:bottom="1440" w:left="1440" w:header="720" w:footer="720" w:gutter="0"/>
          <w:cols w:space="720"/>
          <w:titlePg/>
          <w:docGrid w:linePitch="360"/>
        </w:sectPr>
      </w:pPr>
      <w:r w:rsidRPr="00CF6CAA">
        <w:t>This project has been funded wholly or in part by the United States Environmental Protection Agency under assistance agreement PC-00J32101 to the Puget Sound Partnership. The contents of this document do not necessarily reflect the views and policies of the Environmental Protection Agency, nor does mention of trade names or commercial products constitute endorsement or recommendation for use.</w:t>
      </w:r>
    </w:p>
    <w:p w14:paraId="648663F5" w14:textId="143D2208" w:rsidR="005A55FE" w:rsidRPr="00CF6CAA" w:rsidRDefault="005A55FE" w:rsidP="005A55FE"/>
    <w:p w14:paraId="1D41AB39" w14:textId="77777777" w:rsidR="005A55FE" w:rsidRDefault="005A55FE">
      <w:pPr>
        <w:widowControl/>
        <w:autoSpaceDE/>
        <w:autoSpaceDN/>
        <w:adjustRightInd/>
        <w:spacing w:before="0" w:after="0" w:line="240" w:lineRule="auto"/>
      </w:pPr>
    </w:p>
    <w:sdt>
      <w:sdtPr>
        <w:rPr>
          <w:rFonts w:eastAsia="Times New Roman" w:cs="Times New Roman"/>
          <w:b w:val="0"/>
          <w:bCs w:val="0"/>
          <w:color w:val="000000"/>
          <w:sz w:val="22"/>
          <w:szCs w:val="22"/>
          <w:lang w:eastAsia="en-US"/>
        </w:rPr>
        <w:id w:val="-41903953"/>
        <w:docPartObj>
          <w:docPartGallery w:val="Table of Contents"/>
          <w:docPartUnique/>
        </w:docPartObj>
      </w:sdtPr>
      <w:sdtEndPr>
        <w:rPr>
          <w:noProof/>
        </w:rPr>
      </w:sdtEndPr>
      <w:sdtContent>
        <w:p w14:paraId="3712697F" w14:textId="7A1F4908" w:rsidR="00EF4CC7" w:rsidRDefault="00EF4CC7">
          <w:pPr>
            <w:pStyle w:val="TOCHeading"/>
          </w:pPr>
          <w:r>
            <w:t>Contents</w:t>
          </w:r>
        </w:p>
        <w:p w14:paraId="4A0A997F" w14:textId="77777777" w:rsidR="003D39D5" w:rsidRDefault="00EF4CC7">
          <w:pPr>
            <w:pStyle w:val="TOC2"/>
            <w:tabs>
              <w:tab w:val="right" w:leader="dot" w:pos="9350"/>
            </w:tabs>
            <w:rPr>
              <w:rFonts w:asciiTheme="minorHAnsi" w:eastAsiaTheme="minorEastAsia" w:hAnsiTheme="minorHAnsi" w:cstheme="minorBidi"/>
              <w:noProof/>
              <w:color w:val="auto"/>
              <w:sz w:val="24"/>
              <w:szCs w:val="24"/>
              <w:lang w:eastAsia="ja-JP"/>
            </w:rPr>
          </w:pPr>
          <w:r>
            <w:fldChar w:fldCharType="begin"/>
          </w:r>
          <w:r>
            <w:instrText xml:space="preserve"> TOC \o "1-3" \h \z \u </w:instrText>
          </w:r>
          <w:r>
            <w:fldChar w:fldCharType="separate"/>
          </w:r>
          <w:r w:rsidR="003D39D5" w:rsidRPr="00835AB3">
            <w:rPr>
              <w:noProof/>
              <w:shd w:val="clear" w:color="auto" w:fill="FFFFFF"/>
            </w:rPr>
            <w:t>1. Introduction</w:t>
          </w:r>
          <w:r w:rsidR="003D39D5">
            <w:rPr>
              <w:noProof/>
            </w:rPr>
            <w:tab/>
          </w:r>
          <w:r w:rsidR="003D39D5">
            <w:rPr>
              <w:noProof/>
            </w:rPr>
            <w:fldChar w:fldCharType="begin"/>
          </w:r>
          <w:r w:rsidR="003D39D5">
            <w:rPr>
              <w:noProof/>
            </w:rPr>
            <w:instrText xml:space="preserve"> PAGEREF _Toc256149254 \h </w:instrText>
          </w:r>
          <w:r w:rsidR="003D39D5">
            <w:rPr>
              <w:noProof/>
            </w:rPr>
          </w:r>
          <w:r w:rsidR="003D39D5">
            <w:rPr>
              <w:noProof/>
            </w:rPr>
            <w:fldChar w:fldCharType="separate"/>
          </w:r>
          <w:r w:rsidR="00A3161B">
            <w:rPr>
              <w:noProof/>
            </w:rPr>
            <w:t>4</w:t>
          </w:r>
          <w:r w:rsidR="003D39D5">
            <w:rPr>
              <w:noProof/>
            </w:rPr>
            <w:fldChar w:fldCharType="end"/>
          </w:r>
        </w:p>
        <w:p w14:paraId="13AF746E"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Need for a Puget Sound pressures assessment</w:t>
          </w:r>
          <w:r>
            <w:rPr>
              <w:noProof/>
            </w:rPr>
            <w:tab/>
          </w:r>
          <w:r>
            <w:rPr>
              <w:noProof/>
            </w:rPr>
            <w:fldChar w:fldCharType="begin"/>
          </w:r>
          <w:r>
            <w:rPr>
              <w:noProof/>
            </w:rPr>
            <w:instrText xml:space="preserve"> PAGEREF _Toc256149255 \h </w:instrText>
          </w:r>
          <w:r>
            <w:rPr>
              <w:noProof/>
            </w:rPr>
          </w:r>
          <w:r>
            <w:rPr>
              <w:noProof/>
            </w:rPr>
            <w:fldChar w:fldCharType="separate"/>
          </w:r>
          <w:r w:rsidR="00A3161B">
            <w:rPr>
              <w:noProof/>
            </w:rPr>
            <w:t>7</w:t>
          </w:r>
          <w:r>
            <w:rPr>
              <w:noProof/>
            </w:rPr>
            <w:fldChar w:fldCharType="end"/>
          </w:r>
        </w:p>
        <w:p w14:paraId="4D126AE4"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Goals of Puget Sound pressures assessment</w:t>
          </w:r>
          <w:r>
            <w:rPr>
              <w:noProof/>
            </w:rPr>
            <w:tab/>
          </w:r>
          <w:r>
            <w:rPr>
              <w:noProof/>
            </w:rPr>
            <w:fldChar w:fldCharType="begin"/>
          </w:r>
          <w:r>
            <w:rPr>
              <w:noProof/>
            </w:rPr>
            <w:instrText xml:space="preserve"> PAGEREF _Toc256149256 \h </w:instrText>
          </w:r>
          <w:r>
            <w:rPr>
              <w:noProof/>
            </w:rPr>
          </w:r>
          <w:r>
            <w:rPr>
              <w:noProof/>
            </w:rPr>
            <w:fldChar w:fldCharType="separate"/>
          </w:r>
          <w:r w:rsidR="00A3161B">
            <w:rPr>
              <w:noProof/>
            </w:rPr>
            <w:t>7</w:t>
          </w:r>
          <w:r>
            <w:rPr>
              <w:noProof/>
            </w:rPr>
            <w:fldChar w:fldCharType="end"/>
          </w:r>
        </w:p>
        <w:p w14:paraId="569B78E1"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Concepts and framework</w:t>
          </w:r>
          <w:r>
            <w:rPr>
              <w:noProof/>
            </w:rPr>
            <w:tab/>
          </w:r>
          <w:r>
            <w:rPr>
              <w:noProof/>
            </w:rPr>
            <w:fldChar w:fldCharType="begin"/>
          </w:r>
          <w:r>
            <w:rPr>
              <w:noProof/>
            </w:rPr>
            <w:instrText xml:space="preserve"> PAGEREF _Toc256149257 \h </w:instrText>
          </w:r>
          <w:r>
            <w:rPr>
              <w:noProof/>
            </w:rPr>
          </w:r>
          <w:r>
            <w:rPr>
              <w:noProof/>
            </w:rPr>
            <w:fldChar w:fldCharType="separate"/>
          </w:r>
          <w:r w:rsidR="00A3161B">
            <w:rPr>
              <w:noProof/>
            </w:rPr>
            <w:t>8</w:t>
          </w:r>
          <w:r>
            <w:rPr>
              <w:noProof/>
            </w:rPr>
            <w:fldChar w:fldCharType="end"/>
          </w:r>
        </w:p>
        <w:p w14:paraId="25793797"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Mapping pressures and impacts</w:t>
          </w:r>
          <w:r>
            <w:rPr>
              <w:noProof/>
            </w:rPr>
            <w:tab/>
          </w:r>
          <w:r>
            <w:rPr>
              <w:noProof/>
            </w:rPr>
            <w:fldChar w:fldCharType="begin"/>
          </w:r>
          <w:r>
            <w:rPr>
              <w:noProof/>
            </w:rPr>
            <w:instrText xml:space="preserve"> PAGEREF _Toc256149258 \h </w:instrText>
          </w:r>
          <w:r>
            <w:rPr>
              <w:noProof/>
            </w:rPr>
          </w:r>
          <w:r>
            <w:rPr>
              <w:noProof/>
            </w:rPr>
            <w:fldChar w:fldCharType="separate"/>
          </w:r>
          <w:r w:rsidR="00A3161B">
            <w:rPr>
              <w:noProof/>
            </w:rPr>
            <w:t>12</w:t>
          </w:r>
          <w:r>
            <w:rPr>
              <w:noProof/>
            </w:rPr>
            <w:fldChar w:fldCharType="end"/>
          </w:r>
        </w:p>
        <w:p w14:paraId="36566C41"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Probabilistic modeling of assessment uncertainty</w:t>
          </w:r>
          <w:r>
            <w:rPr>
              <w:noProof/>
            </w:rPr>
            <w:tab/>
          </w:r>
          <w:r>
            <w:rPr>
              <w:noProof/>
            </w:rPr>
            <w:fldChar w:fldCharType="begin"/>
          </w:r>
          <w:r>
            <w:rPr>
              <w:noProof/>
            </w:rPr>
            <w:instrText xml:space="preserve"> PAGEREF _Toc256149259 \h </w:instrText>
          </w:r>
          <w:r>
            <w:rPr>
              <w:noProof/>
            </w:rPr>
          </w:r>
          <w:r>
            <w:rPr>
              <w:noProof/>
            </w:rPr>
            <w:fldChar w:fldCharType="separate"/>
          </w:r>
          <w:r w:rsidR="00A3161B">
            <w:rPr>
              <w:noProof/>
            </w:rPr>
            <w:t>14</w:t>
          </w:r>
          <w:r>
            <w:rPr>
              <w:noProof/>
            </w:rPr>
            <w:fldChar w:fldCharType="end"/>
          </w:r>
        </w:p>
        <w:p w14:paraId="2C83CFA2" w14:textId="77777777" w:rsidR="003D39D5" w:rsidRDefault="003D39D5">
          <w:pPr>
            <w:pStyle w:val="TOC2"/>
            <w:tabs>
              <w:tab w:val="right" w:leader="dot" w:pos="9350"/>
            </w:tabs>
            <w:rPr>
              <w:rFonts w:asciiTheme="minorHAnsi" w:eastAsiaTheme="minorEastAsia" w:hAnsiTheme="minorHAnsi" w:cstheme="minorBidi"/>
              <w:noProof/>
              <w:color w:val="auto"/>
              <w:sz w:val="24"/>
              <w:szCs w:val="24"/>
              <w:lang w:eastAsia="ja-JP"/>
            </w:rPr>
          </w:pPr>
          <w:r>
            <w:rPr>
              <w:noProof/>
            </w:rPr>
            <w:t>2. Pressures assessment approaches considered</w:t>
          </w:r>
          <w:r>
            <w:rPr>
              <w:noProof/>
            </w:rPr>
            <w:tab/>
          </w:r>
          <w:r>
            <w:rPr>
              <w:noProof/>
            </w:rPr>
            <w:fldChar w:fldCharType="begin"/>
          </w:r>
          <w:r>
            <w:rPr>
              <w:noProof/>
            </w:rPr>
            <w:instrText xml:space="preserve"> PAGEREF _Toc256149260 \h </w:instrText>
          </w:r>
          <w:r>
            <w:rPr>
              <w:noProof/>
            </w:rPr>
          </w:r>
          <w:r>
            <w:rPr>
              <w:noProof/>
            </w:rPr>
            <w:fldChar w:fldCharType="separate"/>
          </w:r>
          <w:r w:rsidR="00A3161B">
            <w:rPr>
              <w:noProof/>
            </w:rPr>
            <w:t>15</w:t>
          </w:r>
          <w:r>
            <w:rPr>
              <w:noProof/>
            </w:rPr>
            <w:fldChar w:fldCharType="end"/>
          </w:r>
        </w:p>
        <w:p w14:paraId="57C14168"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Ecological vulnerability approaches</w:t>
          </w:r>
          <w:r>
            <w:rPr>
              <w:noProof/>
            </w:rPr>
            <w:tab/>
          </w:r>
          <w:r>
            <w:rPr>
              <w:noProof/>
            </w:rPr>
            <w:fldChar w:fldCharType="begin"/>
          </w:r>
          <w:r>
            <w:rPr>
              <w:noProof/>
            </w:rPr>
            <w:instrText xml:space="preserve"> PAGEREF _Toc256149261 \h </w:instrText>
          </w:r>
          <w:r>
            <w:rPr>
              <w:noProof/>
            </w:rPr>
          </w:r>
          <w:r>
            <w:rPr>
              <w:noProof/>
            </w:rPr>
            <w:fldChar w:fldCharType="separate"/>
          </w:r>
          <w:r w:rsidR="00A3161B">
            <w:rPr>
              <w:noProof/>
            </w:rPr>
            <w:t>16</w:t>
          </w:r>
          <w:r>
            <w:rPr>
              <w:noProof/>
            </w:rPr>
            <w:fldChar w:fldCharType="end"/>
          </w:r>
        </w:p>
        <w:p w14:paraId="2BF71E88"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DPSIR models</w:t>
          </w:r>
          <w:r>
            <w:rPr>
              <w:noProof/>
            </w:rPr>
            <w:tab/>
          </w:r>
          <w:r>
            <w:rPr>
              <w:noProof/>
            </w:rPr>
            <w:fldChar w:fldCharType="begin"/>
          </w:r>
          <w:r>
            <w:rPr>
              <w:noProof/>
            </w:rPr>
            <w:instrText xml:space="preserve"> PAGEREF _Toc256149262 \h </w:instrText>
          </w:r>
          <w:r>
            <w:rPr>
              <w:noProof/>
            </w:rPr>
          </w:r>
          <w:r>
            <w:rPr>
              <w:noProof/>
            </w:rPr>
            <w:fldChar w:fldCharType="separate"/>
          </w:r>
          <w:r w:rsidR="00A3161B">
            <w:rPr>
              <w:noProof/>
            </w:rPr>
            <w:t>17</w:t>
          </w:r>
          <w:r>
            <w:rPr>
              <w:noProof/>
            </w:rPr>
            <w:fldChar w:fldCharType="end"/>
          </w:r>
        </w:p>
        <w:p w14:paraId="425B0286"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Ecological risk assessment applied to Puget Sound</w:t>
          </w:r>
          <w:r>
            <w:rPr>
              <w:noProof/>
            </w:rPr>
            <w:tab/>
          </w:r>
          <w:r>
            <w:rPr>
              <w:noProof/>
            </w:rPr>
            <w:fldChar w:fldCharType="begin"/>
          </w:r>
          <w:r>
            <w:rPr>
              <w:noProof/>
            </w:rPr>
            <w:instrText xml:space="preserve"> PAGEREF _Toc256149263 \h </w:instrText>
          </w:r>
          <w:r>
            <w:rPr>
              <w:noProof/>
            </w:rPr>
          </w:r>
          <w:r>
            <w:rPr>
              <w:noProof/>
            </w:rPr>
            <w:fldChar w:fldCharType="separate"/>
          </w:r>
          <w:r w:rsidR="00A3161B">
            <w:rPr>
              <w:noProof/>
            </w:rPr>
            <w:t>19</w:t>
          </w:r>
          <w:r>
            <w:rPr>
              <w:noProof/>
            </w:rPr>
            <w:fldChar w:fldCharType="end"/>
          </w:r>
        </w:p>
        <w:p w14:paraId="387CB495" w14:textId="77777777" w:rsidR="003D39D5" w:rsidRDefault="003D39D5">
          <w:pPr>
            <w:pStyle w:val="TOC2"/>
            <w:tabs>
              <w:tab w:val="right" w:leader="dot" w:pos="9350"/>
            </w:tabs>
            <w:rPr>
              <w:rFonts w:asciiTheme="minorHAnsi" w:eastAsiaTheme="minorEastAsia" w:hAnsiTheme="minorHAnsi" w:cstheme="minorBidi"/>
              <w:noProof/>
              <w:color w:val="auto"/>
              <w:sz w:val="24"/>
              <w:szCs w:val="24"/>
              <w:lang w:eastAsia="ja-JP"/>
            </w:rPr>
          </w:pPr>
          <w:r>
            <w:rPr>
              <w:noProof/>
            </w:rPr>
            <w:t>3. Proposed pressures assessment approach</w:t>
          </w:r>
          <w:r>
            <w:rPr>
              <w:noProof/>
            </w:rPr>
            <w:tab/>
          </w:r>
          <w:r>
            <w:rPr>
              <w:noProof/>
            </w:rPr>
            <w:fldChar w:fldCharType="begin"/>
          </w:r>
          <w:r>
            <w:rPr>
              <w:noProof/>
            </w:rPr>
            <w:instrText xml:space="preserve"> PAGEREF _Toc256149264 \h </w:instrText>
          </w:r>
          <w:r>
            <w:rPr>
              <w:noProof/>
            </w:rPr>
          </w:r>
          <w:r>
            <w:rPr>
              <w:noProof/>
            </w:rPr>
            <w:fldChar w:fldCharType="separate"/>
          </w:r>
          <w:r w:rsidR="00A3161B">
            <w:rPr>
              <w:noProof/>
            </w:rPr>
            <w:t>21</w:t>
          </w:r>
          <w:r>
            <w:rPr>
              <w:noProof/>
            </w:rPr>
            <w:fldChar w:fldCharType="end"/>
          </w:r>
        </w:p>
        <w:p w14:paraId="2328932B"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Intrinsic vulnerability score (μ)</w:t>
          </w:r>
          <w:r>
            <w:rPr>
              <w:noProof/>
            </w:rPr>
            <w:tab/>
          </w:r>
          <w:r>
            <w:rPr>
              <w:noProof/>
            </w:rPr>
            <w:fldChar w:fldCharType="begin"/>
          </w:r>
          <w:r>
            <w:rPr>
              <w:noProof/>
            </w:rPr>
            <w:instrText xml:space="preserve"> PAGEREF _Toc256149265 \h </w:instrText>
          </w:r>
          <w:r>
            <w:rPr>
              <w:noProof/>
            </w:rPr>
          </w:r>
          <w:r>
            <w:rPr>
              <w:noProof/>
            </w:rPr>
            <w:fldChar w:fldCharType="separate"/>
          </w:r>
          <w:r w:rsidR="00A3161B">
            <w:rPr>
              <w:noProof/>
            </w:rPr>
            <w:t>22</w:t>
          </w:r>
          <w:r>
            <w:rPr>
              <w:noProof/>
            </w:rPr>
            <w:fldChar w:fldCharType="end"/>
          </w:r>
        </w:p>
        <w:p w14:paraId="66A2A6B2"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The ecosystem vulnerability model that defines μ</w:t>
          </w:r>
          <w:r>
            <w:rPr>
              <w:noProof/>
            </w:rPr>
            <w:tab/>
          </w:r>
          <w:r>
            <w:rPr>
              <w:noProof/>
            </w:rPr>
            <w:fldChar w:fldCharType="begin"/>
          </w:r>
          <w:r>
            <w:rPr>
              <w:noProof/>
            </w:rPr>
            <w:instrText xml:space="preserve"> PAGEREF _Toc256149266 \h </w:instrText>
          </w:r>
          <w:r>
            <w:rPr>
              <w:noProof/>
            </w:rPr>
          </w:r>
          <w:r>
            <w:rPr>
              <w:noProof/>
            </w:rPr>
            <w:fldChar w:fldCharType="separate"/>
          </w:r>
          <w:r w:rsidR="00A3161B">
            <w:rPr>
              <w:noProof/>
            </w:rPr>
            <w:t>22</w:t>
          </w:r>
          <w:r>
            <w:rPr>
              <w:noProof/>
            </w:rPr>
            <w:fldChar w:fldCharType="end"/>
          </w:r>
        </w:p>
        <w:p w14:paraId="08E1DED9"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Assessing and representing uncertainty</w:t>
          </w:r>
          <w:r>
            <w:rPr>
              <w:noProof/>
            </w:rPr>
            <w:tab/>
          </w:r>
          <w:r>
            <w:rPr>
              <w:noProof/>
            </w:rPr>
            <w:fldChar w:fldCharType="begin"/>
          </w:r>
          <w:r>
            <w:rPr>
              <w:noProof/>
            </w:rPr>
            <w:instrText xml:space="preserve"> PAGEREF _Toc256149267 \h </w:instrText>
          </w:r>
          <w:r>
            <w:rPr>
              <w:noProof/>
            </w:rPr>
          </w:r>
          <w:r>
            <w:rPr>
              <w:noProof/>
            </w:rPr>
            <w:fldChar w:fldCharType="separate"/>
          </w:r>
          <w:r w:rsidR="00A3161B">
            <w:rPr>
              <w:noProof/>
            </w:rPr>
            <w:t>25</w:t>
          </w:r>
          <w:r>
            <w:rPr>
              <w:noProof/>
            </w:rPr>
            <w:fldChar w:fldCharType="end"/>
          </w:r>
        </w:p>
        <w:p w14:paraId="5C2ED8B0"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Ecosystem vulnerability score aggregation approach</w:t>
          </w:r>
          <w:r>
            <w:rPr>
              <w:noProof/>
            </w:rPr>
            <w:tab/>
          </w:r>
          <w:r>
            <w:rPr>
              <w:noProof/>
            </w:rPr>
            <w:fldChar w:fldCharType="begin"/>
          </w:r>
          <w:r>
            <w:rPr>
              <w:noProof/>
            </w:rPr>
            <w:instrText xml:space="preserve"> PAGEREF _Toc256149268 \h </w:instrText>
          </w:r>
          <w:r>
            <w:rPr>
              <w:noProof/>
            </w:rPr>
          </w:r>
          <w:r>
            <w:rPr>
              <w:noProof/>
            </w:rPr>
            <w:fldChar w:fldCharType="separate"/>
          </w:r>
          <w:r w:rsidR="00A3161B">
            <w:rPr>
              <w:noProof/>
            </w:rPr>
            <w:t>29</w:t>
          </w:r>
          <w:r>
            <w:rPr>
              <w:noProof/>
            </w:rPr>
            <w:fldChar w:fldCharType="end"/>
          </w:r>
        </w:p>
        <w:p w14:paraId="0C3BB813"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Assessment endpoints</w:t>
          </w:r>
          <w:r>
            <w:rPr>
              <w:noProof/>
            </w:rPr>
            <w:tab/>
          </w:r>
          <w:r>
            <w:rPr>
              <w:noProof/>
            </w:rPr>
            <w:fldChar w:fldCharType="begin"/>
          </w:r>
          <w:r>
            <w:rPr>
              <w:noProof/>
            </w:rPr>
            <w:instrText xml:space="preserve"> PAGEREF _Toc256149269 \h </w:instrText>
          </w:r>
          <w:r>
            <w:rPr>
              <w:noProof/>
            </w:rPr>
          </w:r>
          <w:r>
            <w:rPr>
              <w:noProof/>
            </w:rPr>
            <w:fldChar w:fldCharType="separate"/>
          </w:r>
          <w:r w:rsidR="00A3161B">
            <w:rPr>
              <w:noProof/>
            </w:rPr>
            <w:t>32</w:t>
          </w:r>
          <w:r>
            <w:rPr>
              <w:noProof/>
            </w:rPr>
            <w:fldChar w:fldCharType="end"/>
          </w:r>
        </w:p>
        <w:p w14:paraId="6A116619"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sidRPr="00835AB3">
            <w:rPr>
              <w:noProof/>
              <w:shd w:val="clear" w:color="auto" w:fill="FFFFFF"/>
            </w:rPr>
            <w:t>Pressures and stressors taxonomy used in the assessment</w:t>
          </w:r>
          <w:r>
            <w:rPr>
              <w:noProof/>
            </w:rPr>
            <w:tab/>
          </w:r>
          <w:r>
            <w:rPr>
              <w:noProof/>
            </w:rPr>
            <w:fldChar w:fldCharType="begin"/>
          </w:r>
          <w:r>
            <w:rPr>
              <w:noProof/>
            </w:rPr>
            <w:instrText xml:space="preserve"> PAGEREF _Toc256149270 \h </w:instrText>
          </w:r>
          <w:r>
            <w:rPr>
              <w:noProof/>
            </w:rPr>
          </w:r>
          <w:r>
            <w:rPr>
              <w:noProof/>
            </w:rPr>
            <w:fldChar w:fldCharType="separate"/>
          </w:r>
          <w:r w:rsidR="00A3161B">
            <w:rPr>
              <w:noProof/>
            </w:rPr>
            <w:t>34</w:t>
          </w:r>
          <w:r>
            <w:rPr>
              <w:noProof/>
            </w:rPr>
            <w:fldChar w:fldCharType="end"/>
          </w:r>
        </w:p>
        <w:p w14:paraId="3886CBF0"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sidRPr="00835AB3">
            <w:rPr>
              <w:noProof/>
              <w:shd w:val="clear" w:color="auto" w:fill="FFFFFF"/>
            </w:rPr>
            <w:t>Synergistic effects of multiple stressors</w:t>
          </w:r>
          <w:r>
            <w:rPr>
              <w:noProof/>
            </w:rPr>
            <w:tab/>
          </w:r>
          <w:r>
            <w:rPr>
              <w:noProof/>
            </w:rPr>
            <w:fldChar w:fldCharType="begin"/>
          </w:r>
          <w:r>
            <w:rPr>
              <w:noProof/>
            </w:rPr>
            <w:instrText xml:space="preserve"> PAGEREF _Toc256149271 \h </w:instrText>
          </w:r>
          <w:r>
            <w:rPr>
              <w:noProof/>
            </w:rPr>
          </w:r>
          <w:r>
            <w:rPr>
              <w:noProof/>
            </w:rPr>
            <w:fldChar w:fldCharType="separate"/>
          </w:r>
          <w:r w:rsidR="00A3161B">
            <w:rPr>
              <w:noProof/>
            </w:rPr>
            <w:t>36</w:t>
          </w:r>
          <w:r>
            <w:rPr>
              <w:noProof/>
            </w:rPr>
            <w:fldChar w:fldCharType="end"/>
          </w:r>
        </w:p>
        <w:p w14:paraId="264A7D85"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Assessment scales, units of assessment</w:t>
          </w:r>
          <w:r>
            <w:rPr>
              <w:noProof/>
            </w:rPr>
            <w:tab/>
          </w:r>
          <w:r>
            <w:rPr>
              <w:noProof/>
            </w:rPr>
            <w:fldChar w:fldCharType="begin"/>
          </w:r>
          <w:r>
            <w:rPr>
              <w:noProof/>
            </w:rPr>
            <w:instrText xml:space="preserve"> PAGEREF _Toc256149272 \h </w:instrText>
          </w:r>
          <w:r>
            <w:rPr>
              <w:noProof/>
            </w:rPr>
          </w:r>
          <w:r>
            <w:rPr>
              <w:noProof/>
            </w:rPr>
            <w:fldChar w:fldCharType="separate"/>
          </w:r>
          <w:r w:rsidR="00A3161B">
            <w:rPr>
              <w:noProof/>
            </w:rPr>
            <w:t>37</w:t>
          </w:r>
          <w:r>
            <w:rPr>
              <w:noProof/>
            </w:rPr>
            <w:fldChar w:fldCharType="end"/>
          </w:r>
        </w:p>
        <w:p w14:paraId="12BE2E29" w14:textId="77777777" w:rsidR="003D39D5" w:rsidRDefault="003D39D5">
          <w:pPr>
            <w:pStyle w:val="TOC2"/>
            <w:tabs>
              <w:tab w:val="right" w:leader="dot" w:pos="9350"/>
            </w:tabs>
            <w:rPr>
              <w:rFonts w:asciiTheme="minorHAnsi" w:eastAsiaTheme="minorEastAsia" w:hAnsiTheme="minorHAnsi" w:cstheme="minorBidi"/>
              <w:noProof/>
              <w:color w:val="auto"/>
              <w:sz w:val="24"/>
              <w:szCs w:val="24"/>
              <w:lang w:eastAsia="ja-JP"/>
            </w:rPr>
          </w:pPr>
          <w:r>
            <w:rPr>
              <w:noProof/>
            </w:rPr>
            <w:t>4. Implementing the pressures assessment through workshops, surveys, and expert panels</w:t>
          </w:r>
          <w:r>
            <w:rPr>
              <w:noProof/>
            </w:rPr>
            <w:tab/>
          </w:r>
          <w:r>
            <w:rPr>
              <w:noProof/>
            </w:rPr>
            <w:fldChar w:fldCharType="begin"/>
          </w:r>
          <w:r>
            <w:rPr>
              <w:noProof/>
            </w:rPr>
            <w:instrText xml:space="preserve"> PAGEREF _Toc256149273 \h </w:instrText>
          </w:r>
          <w:r>
            <w:rPr>
              <w:noProof/>
            </w:rPr>
          </w:r>
          <w:r>
            <w:rPr>
              <w:noProof/>
            </w:rPr>
            <w:fldChar w:fldCharType="separate"/>
          </w:r>
          <w:r w:rsidR="00A3161B">
            <w:rPr>
              <w:noProof/>
            </w:rPr>
            <w:t>37</w:t>
          </w:r>
          <w:r>
            <w:rPr>
              <w:noProof/>
            </w:rPr>
            <w:fldChar w:fldCharType="end"/>
          </w:r>
        </w:p>
        <w:p w14:paraId="24FDA261"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Use of expert elicitation in pressures assessment</w:t>
          </w:r>
          <w:r>
            <w:rPr>
              <w:noProof/>
            </w:rPr>
            <w:tab/>
          </w:r>
          <w:r>
            <w:rPr>
              <w:noProof/>
            </w:rPr>
            <w:fldChar w:fldCharType="begin"/>
          </w:r>
          <w:r>
            <w:rPr>
              <w:noProof/>
            </w:rPr>
            <w:instrText xml:space="preserve"> PAGEREF _Toc256149274 \h </w:instrText>
          </w:r>
          <w:r>
            <w:rPr>
              <w:noProof/>
            </w:rPr>
          </w:r>
          <w:r>
            <w:rPr>
              <w:noProof/>
            </w:rPr>
            <w:fldChar w:fldCharType="separate"/>
          </w:r>
          <w:r w:rsidR="00A3161B">
            <w:rPr>
              <w:noProof/>
            </w:rPr>
            <w:t>37</w:t>
          </w:r>
          <w:r>
            <w:rPr>
              <w:noProof/>
            </w:rPr>
            <w:fldChar w:fldCharType="end"/>
          </w:r>
        </w:p>
        <w:p w14:paraId="314B21A8" w14:textId="77777777" w:rsidR="003D39D5" w:rsidRDefault="003D39D5">
          <w:pPr>
            <w:pStyle w:val="TOC3"/>
            <w:tabs>
              <w:tab w:val="right" w:leader="dot" w:pos="9350"/>
            </w:tabs>
            <w:rPr>
              <w:rFonts w:asciiTheme="minorHAnsi" w:eastAsiaTheme="minorEastAsia" w:hAnsiTheme="minorHAnsi" w:cstheme="minorBidi"/>
              <w:noProof/>
              <w:color w:val="auto"/>
              <w:sz w:val="24"/>
              <w:szCs w:val="24"/>
              <w:lang w:eastAsia="ja-JP"/>
            </w:rPr>
          </w:pPr>
          <w:r>
            <w:rPr>
              <w:noProof/>
            </w:rPr>
            <w:t>Purposes and types of expert panels used in the assessment</w:t>
          </w:r>
          <w:r>
            <w:rPr>
              <w:noProof/>
            </w:rPr>
            <w:tab/>
          </w:r>
          <w:r>
            <w:rPr>
              <w:noProof/>
            </w:rPr>
            <w:fldChar w:fldCharType="begin"/>
          </w:r>
          <w:r>
            <w:rPr>
              <w:noProof/>
            </w:rPr>
            <w:instrText xml:space="preserve"> PAGEREF _Toc256149275 \h </w:instrText>
          </w:r>
          <w:r>
            <w:rPr>
              <w:noProof/>
            </w:rPr>
          </w:r>
          <w:r>
            <w:rPr>
              <w:noProof/>
            </w:rPr>
            <w:fldChar w:fldCharType="separate"/>
          </w:r>
          <w:r w:rsidR="00A3161B">
            <w:rPr>
              <w:noProof/>
            </w:rPr>
            <w:t>41</w:t>
          </w:r>
          <w:r>
            <w:rPr>
              <w:noProof/>
            </w:rPr>
            <w:fldChar w:fldCharType="end"/>
          </w:r>
        </w:p>
        <w:p w14:paraId="2A56E946" w14:textId="77777777" w:rsidR="003D39D5" w:rsidRDefault="003D39D5">
          <w:pPr>
            <w:pStyle w:val="TOC1"/>
            <w:tabs>
              <w:tab w:val="right" w:leader="dot" w:pos="9350"/>
            </w:tabs>
            <w:rPr>
              <w:rFonts w:asciiTheme="minorHAnsi" w:eastAsiaTheme="minorEastAsia" w:hAnsiTheme="minorHAnsi" w:cstheme="minorBidi"/>
              <w:noProof/>
              <w:color w:val="auto"/>
              <w:sz w:val="24"/>
              <w:szCs w:val="24"/>
              <w:lang w:eastAsia="ja-JP"/>
            </w:rPr>
          </w:pPr>
          <w:r>
            <w:rPr>
              <w:noProof/>
            </w:rPr>
            <w:t>References</w:t>
          </w:r>
          <w:r>
            <w:rPr>
              <w:noProof/>
            </w:rPr>
            <w:tab/>
          </w:r>
          <w:r>
            <w:rPr>
              <w:noProof/>
            </w:rPr>
            <w:fldChar w:fldCharType="begin"/>
          </w:r>
          <w:r>
            <w:rPr>
              <w:noProof/>
            </w:rPr>
            <w:instrText xml:space="preserve"> PAGEREF _Toc256149276 \h </w:instrText>
          </w:r>
          <w:r>
            <w:rPr>
              <w:noProof/>
            </w:rPr>
          </w:r>
          <w:r>
            <w:rPr>
              <w:noProof/>
            </w:rPr>
            <w:fldChar w:fldCharType="separate"/>
          </w:r>
          <w:r w:rsidR="00A3161B">
            <w:rPr>
              <w:noProof/>
            </w:rPr>
            <w:t>43</w:t>
          </w:r>
          <w:r>
            <w:rPr>
              <w:noProof/>
            </w:rPr>
            <w:fldChar w:fldCharType="end"/>
          </w:r>
        </w:p>
        <w:p w14:paraId="5865FC56" w14:textId="381D83B5" w:rsidR="00EF4CC7" w:rsidRDefault="00EF4CC7">
          <w:r>
            <w:rPr>
              <w:b/>
              <w:bCs/>
              <w:noProof/>
            </w:rPr>
            <w:fldChar w:fldCharType="end"/>
          </w:r>
        </w:p>
      </w:sdtContent>
    </w:sdt>
    <w:p w14:paraId="5F6103E7" w14:textId="565FA2E3" w:rsidR="003A5CEC" w:rsidRDefault="003A5CEC" w:rsidP="007109EE">
      <w:r>
        <w:br w:type="page"/>
      </w:r>
    </w:p>
    <w:p w14:paraId="51F554ED" w14:textId="67A16FCB" w:rsidR="00EE3107" w:rsidRDefault="00471E70" w:rsidP="00A36CCC">
      <w:pPr>
        <w:pStyle w:val="Heading2"/>
        <w:rPr>
          <w:shd w:val="clear" w:color="auto" w:fill="FFFFFF"/>
        </w:rPr>
      </w:pPr>
      <w:bookmarkStart w:id="2" w:name="_Toc256149254"/>
      <w:bookmarkEnd w:id="0"/>
      <w:r>
        <w:rPr>
          <w:shd w:val="clear" w:color="auto" w:fill="FFFFFF"/>
        </w:rPr>
        <w:lastRenderedPageBreak/>
        <w:t xml:space="preserve">1. </w:t>
      </w:r>
      <w:r w:rsidR="00EE3107">
        <w:rPr>
          <w:shd w:val="clear" w:color="auto" w:fill="FFFFFF"/>
        </w:rPr>
        <w:t>Introduction</w:t>
      </w:r>
      <w:bookmarkEnd w:id="2"/>
    </w:p>
    <w:p w14:paraId="5ED8A898" w14:textId="256AB93D" w:rsidR="00810B8A" w:rsidRDefault="00AE2DA5" w:rsidP="00B2357A">
      <w:pPr>
        <w:rPr>
          <w:shd w:val="clear" w:color="auto" w:fill="FFFFFF"/>
        </w:rPr>
      </w:pPr>
      <w:r w:rsidRPr="00AE2DA5">
        <w:rPr>
          <w:shd w:val="clear" w:color="auto" w:fill="FFFFFF"/>
        </w:rPr>
        <w:t xml:space="preserve">Puget Sound, like many coastal ecosystems </w:t>
      </w:r>
      <w:r w:rsidR="00BA3DCD">
        <w:rPr>
          <w:shd w:val="clear" w:color="auto" w:fill="FFFFFF"/>
        </w:rPr>
        <w:t>around the world</w:t>
      </w:r>
      <w:r w:rsidRPr="00AE2DA5">
        <w:rPr>
          <w:shd w:val="clear" w:color="auto" w:fill="FFFFFF"/>
        </w:rPr>
        <w:t xml:space="preserve">, </w:t>
      </w:r>
      <w:r>
        <w:rPr>
          <w:shd w:val="clear" w:color="auto" w:fill="FFFFFF"/>
        </w:rPr>
        <w:t>shows</w:t>
      </w:r>
      <w:r w:rsidRPr="00AE2DA5">
        <w:rPr>
          <w:shd w:val="clear" w:color="auto" w:fill="FFFFFF"/>
        </w:rPr>
        <w:t xml:space="preserve"> </w:t>
      </w:r>
      <w:r w:rsidR="00B8665A">
        <w:rPr>
          <w:shd w:val="clear" w:color="auto" w:fill="FFFFFF"/>
        </w:rPr>
        <w:t xml:space="preserve">a variety of </w:t>
      </w:r>
      <w:r w:rsidRPr="00AE2DA5">
        <w:rPr>
          <w:shd w:val="clear" w:color="auto" w:fill="FFFFFF"/>
        </w:rPr>
        <w:t xml:space="preserve">symptoms of </w:t>
      </w:r>
      <w:r>
        <w:rPr>
          <w:shd w:val="clear" w:color="auto" w:fill="FFFFFF"/>
        </w:rPr>
        <w:t>degradation and decline (</w:t>
      </w:r>
      <w:r w:rsidR="00685C95">
        <w:rPr>
          <w:shd w:val="clear" w:color="auto" w:fill="FFFFFF"/>
        </w:rPr>
        <w:t>PSAT</w:t>
      </w:r>
      <w:r w:rsidR="002860B9">
        <w:rPr>
          <w:shd w:val="clear" w:color="auto" w:fill="FFFFFF"/>
        </w:rPr>
        <w:t>,</w:t>
      </w:r>
      <w:r w:rsidR="00685C95">
        <w:rPr>
          <w:shd w:val="clear" w:color="auto" w:fill="FFFFFF"/>
        </w:rPr>
        <w:t xml:space="preserve"> 2005; </w:t>
      </w:r>
      <w:r w:rsidR="002860B9">
        <w:rPr>
          <w:shd w:val="clear" w:color="auto" w:fill="FFFFFF"/>
        </w:rPr>
        <w:t xml:space="preserve">PSAMP, 2005; </w:t>
      </w:r>
      <w:r w:rsidRPr="00AE2DA5">
        <w:rPr>
          <w:shd w:val="clear" w:color="auto" w:fill="FFFFFF"/>
        </w:rPr>
        <w:t>Ruckelshaus and McClure, 2007</w:t>
      </w:r>
      <w:r w:rsidR="00685C95">
        <w:rPr>
          <w:shd w:val="clear" w:color="auto" w:fill="FFFFFF"/>
        </w:rPr>
        <w:t>; Shipman et al., 2010; PSP 2010, 2012</w:t>
      </w:r>
      <w:r w:rsidR="00664C7F">
        <w:rPr>
          <w:shd w:val="clear" w:color="auto" w:fill="FFFFFF"/>
        </w:rPr>
        <w:t xml:space="preserve">; </w:t>
      </w:r>
      <w:proofErr w:type="spellStart"/>
      <w:r w:rsidR="00664C7F">
        <w:rPr>
          <w:shd w:val="clear" w:color="auto" w:fill="FFFFFF"/>
        </w:rPr>
        <w:t>Simenstad</w:t>
      </w:r>
      <w:proofErr w:type="spellEnd"/>
      <w:r w:rsidR="00664C7F">
        <w:rPr>
          <w:shd w:val="clear" w:color="auto" w:fill="FFFFFF"/>
        </w:rPr>
        <w:t xml:space="preserve"> et al., 2011</w:t>
      </w:r>
      <w:r w:rsidRPr="00AE2DA5">
        <w:rPr>
          <w:shd w:val="clear" w:color="auto" w:fill="FFFFFF"/>
        </w:rPr>
        <w:t xml:space="preserve">). </w:t>
      </w:r>
      <w:r w:rsidR="00D95D7B">
        <w:rPr>
          <w:shd w:val="clear" w:color="auto" w:fill="FFFFFF"/>
        </w:rPr>
        <w:t xml:space="preserve">Documented trends for Puget Sound and other major coastal ecosystems </w:t>
      </w:r>
      <w:r w:rsidRPr="00AE2DA5">
        <w:rPr>
          <w:shd w:val="clear" w:color="auto" w:fill="FFFFFF"/>
        </w:rPr>
        <w:t xml:space="preserve">include increasing numbers of </w:t>
      </w:r>
      <w:r w:rsidR="002D44A8">
        <w:rPr>
          <w:shd w:val="clear" w:color="auto" w:fill="FFFFFF"/>
        </w:rPr>
        <w:t>species with declining populations</w:t>
      </w:r>
      <w:r w:rsidRPr="00AE2DA5">
        <w:rPr>
          <w:shd w:val="clear" w:color="auto" w:fill="FFFFFF"/>
        </w:rPr>
        <w:t xml:space="preserve">, </w:t>
      </w:r>
      <w:r w:rsidR="002D44A8">
        <w:rPr>
          <w:shd w:val="clear" w:color="auto" w:fill="FFFFFF"/>
        </w:rPr>
        <w:t>species threatened with extinction, disturbed</w:t>
      </w:r>
      <w:r w:rsidR="00671D09">
        <w:rPr>
          <w:shd w:val="clear" w:color="auto" w:fill="FFFFFF"/>
        </w:rPr>
        <w:t xml:space="preserve"> food webs, </w:t>
      </w:r>
      <w:r w:rsidR="002D44A8">
        <w:rPr>
          <w:shd w:val="clear" w:color="auto" w:fill="FFFFFF"/>
        </w:rPr>
        <w:t>significant habitat losses for a wide variety of marine</w:t>
      </w:r>
      <w:r w:rsidR="00810B8A">
        <w:rPr>
          <w:shd w:val="clear" w:color="auto" w:fill="FFFFFF"/>
        </w:rPr>
        <w:t>, nearshore</w:t>
      </w:r>
      <w:r w:rsidR="002D44A8">
        <w:rPr>
          <w:shd w:val="clear" w:color="auto" w:fill="FFFFFF"/>
        </w:rPr>
        <w:t xml:space="preserve"> and terrestrial coastal species</w:t>
      </w:r>
      <w:r w:rsidRPr="00AE2DA5">
        <w:rPr>
          <w:shd w:val="clear" w:color="auto" w:fill="FFFFFF"/>
        </w:rPr>
        <w:t xml:space="preserve">, and </w:t>
      </w:r>
      <w:r w:rsidR="002D44A8">
        <w:rPr>
          <w:shd w:val="clear" w:color="auto" w:fill="FFFFFF"/>
        </w:rPr>
        <w:t>elevated levels of toxic contaminants, pathogens, and nutrients</w:t>
      </w:r>
      <w:r w:rsidR="00671D09">
        <w:rPr>
          <w:shd w:val="clear" w:color="auto" w:fill="FFFFFF"/>
        </w:rPr>
        <w:t xml:space="preserve"> </w:t>
      </w:r>
      <w:r w:rsidRPr="00AE2DA5">
        <w:rPr>
          <w:shd w:val="clear" w:color="auto" w:fill="FFFFFF"/>
        </w:rPr>
        <w:t>(U.S. Commission on Ocean Policy, 2004</w:t>
      </w:r>
      <w:r w:rsidR="00EC0CC3">
        <w:rPr>
          <w:shd w:val="clear" w:color="auto" w:fill="FFFFFF"/>
        </w:rPr>
        <w:t xml:space="preserve">; </w:t>
      </w:r>
      <w:r w:rsidR="00EC0CC3" w:rsidRPr="00AE2DA5">
        <w:rPr>
          <w:shd w:val="clear" w:color="auto" w:fill="FFFFFF"/>
        </w:rPr>
        <w:t>Heinz Center, 2008</w:t>
      </w:r>
      <w:r w:rsidRPr="00AE2DA5">
        <w:rPr>
          <w:shd w:val="clear" w:color="auto" w:fill="FFFFFF"/>
        </w:rPr>
        <w:t>).</w:t>
      </w:r>
    </w:p>
    <w:p w14:paraId="1590256B" w14:textId="152D318C" w:rsidR="00B2357A" w:rsidRDefault="00B2357A" w:rsidP="00B2357A">
      <w:pPr>
        <w:rPr>
          <w:shd w:val="clear" w:color="auto" w:fill="FFFFFF"/>
        </w:rPr>
      </w:pPr>
      <w:r>
        <w:rPr>
          <w:shd w:val="clear" w:color="auto" w:fill="FFFFFF"/>
        </w:rPr>
        <w:t xml:space="preserve">Ecosystems are by definition complex systems with many interconnected </w:t>
      </w:r>
      <w:r w:rsidR="00712495">
        <w:rPr>
          <w:shd w:val="clear" w:color="auto" w:fill="FFFFFF"/>
        </w:rPr>
        <w:t xml:space="preserve">biotic and </w:t>
      </w:r>
      <w:r w:rsidR="0018775A">
        <w:rPr>
          <w:shd w:val="clear" w:color="auto" w:fill="FFFFFF"/>
        </w:rPr>
        <w:t>environmental</w:t>
      </w:r>
      <w:r w:rsidR="00712495">
        <w:rPr>
          <w:shd w:val="clear" w:color="auto" w:fill="FFFFFF"/>
        </w:rPr>
        <w:t xml:space="preserve"> </w:t>
      </w:r>
      <w:r>
        <w:rPr>
          <w:shd w:val="clear" w:color="auto" w:fill="FFFFFF"/>
        </w:rPr>
        <w:t xml:space="preserve">components organized </w:t>
      </w:r>
      <w:r w:rsidR="00A3161B">
        <w:rPr>
          <w:shd w:val="clear" w:color="auto" w:fill="FFFFFF"/>
        </w:rPr>
        <w:t>through processes operating across</w:t>
      </w:r>
      <w:r>
        <w:rPr>
          <w:shd w:val="clear" w:color="auto" w:fill="FFFFFF"/>
        </w:rPr>
        <w:t xml:space="preserve"> multiple scales.  Ecosystems </w:t>
      </w:r>
      <w:r w:rsidR="0018775A">
        <w:rPr>
          <w:shd w:val="clear" w:color="auto" w:fill="FFFFFF"/>
        </w:rPr>
        <w:t>h</w:t>
      </w:r>
      <w:r>
        <w:rPr>
          <w:shd w:val="clear" w:color="auto" w:fill="FFFFFF"/>
        </w:rPr>
        <w:t>ave complicated dynamics</w:t>
      </w:r>
      <w:r w:rsidR="0018775A">
        <w:rPr>
          <w:shd w:val="clear" w:color="auto" w:fill="FFFFFF"/>
        </w:rPr>
        <w:t xml:space="preserve"> and spatial distributions</w:t>
      </w:r>
      <w:r>
        <w:rPr>
          <w:shd w:val="clear" w:color="auto" w:fill="FFFFFF"/>
        </w:rPr>
        <w:t xml:space="preserve"> </w:t>
      </w:r>
      <w:r w:rsidR="0018775A">
        <w:rPr>
          <w:shd w:val="clear" w:color="auto" w:fill="FFFFFF"/>
        </w:rPr>
        <w:t>that</w:t>
      </w:r>
      <w:r>
        <w:rPr>
          <w:shd w:val="clear" w:color="auto" w:fill="FFFFFF"/>
        </w:rPr>
        <w:t xml:space="preserve"> can be conceptualized at different spatial and temporal scales</w:t>
      </w:r>
      <w:r w:rsidR="0018775A">
        <w:rPr>
          <w:shd w:val="clear" w:color="auto" w:fill="FFFFFF"/>
        </w:rPr>
        <w:t>, depending on the focus of interest</w:t>
      </w:r>
      <w:r>
        <w:rPr>
          <w:shd w:val="clear" w:color="auto" w:fill="FFFFFF"/>
        </w:rPr>
        <w:t xml:space="preserve">.  </w:t>
      </w:r>
      <w:r w:rsidR="0018775A">
        <w:rPr>
          <w:shd w:val="clear" w:color="auto" w:fill="FFFFFF"/>
        </w:rPr>
        <w:t xml:space="preserve">While many discussions of ecosystems exclude human beings, human beings are an integral part of ecosystems, especially in the context of ecosystem restoration, protection, and management.  </w:t>
      </w:r>
      <w:r>
        <w:rPr>
          <w:shd w:val="clear" w:color="auto" w:fill="FFFFFF"/>
        </w:rPr>
        <w:t xml:space="preserve">This complexity </w:t>
      </w:r>
      <w:r w:rsidR="00935F33">
        <w:rPr>
          <w:shd w:val="clear" w:color="auto" w:fill="FFFFFF"/>
        </w:rPr>
        <w:t>make</w:t>
      </w:r>
      <w:r w:rsidR="0018775A">
        <w:rPr>
          <w:shd w:val="clear" w:color="auto" w:fill="FFFFFF"/>
        </w:rPr>
        <w:t>s</w:t>
      </w:r>
      <w:r w:rsidR="00935F33">
        <w:rPr>
          <w:shd w:val="clear" w:color="auto" w:fill="FFFFFF"/>
        </w:rPr>
        <w:t xml:space="preserve"> ecosystems and ecosystem vulnerability</w:t>
      </w:r>
      <w:r w:rsidR="001B1265">
        <w:rPr>
          <w:shd w:val="clear" w:color="auto" w:fill="FFFFFF"/>
        </w:rPr>
        <w:t xml:space="preserve"> </w:t>
      </w:r>
      <w:r>
        <w:rPr>
          <w:shd w:val="clear" w:color="auto" w:fill="FFFFFF"/>
        </w:rPr>
        <w:t>inherently difficult to characterize</w:t>
      </w:r>
      <w:r w:rsidR="00935F33">
        <w:rPr>
          <w:shd w:val="clear" w:color="auto" w:fill="FFFFFF"/>
        </w:rPr>
        <w:t xml:space="preserve"> </w:t>
      </w:r>
      <w:r w:rsidR="0018775A">
        <w:rPr>
          <w:shd w:val="clear" w:color="auto" w:fill="FFFFFF"/>
        </w:rPr>
        <w:t>and describe.</w:t>
      </w:r>
    </w:p>
    <w:p w14:paraId="0B48292C" w14:textId="1CB08EB4" w:rsidR="00EE6128" w:rsidRDefault="00414B20" w:rsidP="00B2357A">
      <w:pPr>
        <w:rPr>
          <w:shd w:val="clear" w:color="auto" w:fill="FFFFFF"/>
        </w:rPr>
      </w:pPr>
      <w:r>
        <w:rPr>
          <w:shd w:val="clear" w:color="auto" w:fill="FFFFFF"/>
        </w:rPr>
        <w:t>In our discussions, we build on the Puget Sound Partnership’s accepted terminology and conceptual models</w:t>
      </w:r>
      <w:r w:rsidR="005402B1">
        <w:rPr>
          <w:shd w:val="clear" w:color="auto" w:fill="FFFFFF"/>
        </w:rPr>
        <w:t xml:space="preserve"> for describing ecosystems, vulnerability, and change</w:t>
      </w:r>
      <w:r>
        <w:rPr>
          <w:shd w:val="clear" w:color="auto" w:fill="FFFFFF"/>
        </w:rPr>
        <w:t xml:space="preserve">, </w:t>
      </w:r>
      <w:r w:rsidR="00657D72">
        <w:rPr>
          <w:shd w:val="clear" w:color="auto" w:fill="FFFFFF"/>
        </w:rPr>
        <w:t xml:space="preserve">which have been developed as part of the </w:t>
      </w:r>
      <w:r w:rsidR="00A3161B">
        <w:rPr>
          <w:shd w:val="clear" w:color="auto" w:fill="FFFFFF"/>
        </w:rPr>
        <w:t xml:space="preserve">related parallel </w:t>
      </w:r>
      <w:r w:rsidR="00657D72">
        <w:rPr>
          <w:shd w:val="clear" w:color="auto" w:fill="FFFFFF"/>
        </w:rPr>
        <w:t>effort</w:t>
      </w:r>
      <w:r w:rsidR="005A0F2B">
        <w:rPr>
          <w:shd w:val="clear" w:color="auto" w:fill="FFFFFF"/>
        </w:rPr>
        <w:t>s</w:t>
      </w:r>
      <w:r w:rsidR="00657D72">
        <w:rPr>
          <w:shd w:val="clear" w:color="auto" w:fill="FFFFFF"/>
        </w:rPr>
        <w:t xml:space="preserve"> to define ecosystem indicators, develop and update a regional ecosystem recovery plan (the Action Agenda), and create an adaptive management system</w:t>
      </w:r>
      <w:r w:rsidR="005402B1">
        <w:rPr>
          <w:shd w:val="clear" w:color="auto" w:fill="FFFFFF"/>
        </w:rPr>
        <w:t>, among many other foundational activities</w:t>
      </w:r>
      <w:r w:rsidR="00657D72">
        <w:rPr>
          <w:shd w:val="clear" w:color="auto" w:fill="FFFFFF"/>
        </w:rPr>
        <w:t xml:space="preserve"> (</w:t>
      </w:r>
      <w:r w:rsidR="005402B1" w:rsidRPr="005402B1">
        <w:rPr>
          <w:shd w:val="clear" w:color="auto" w:fill="FFFFFF"/>
        </w:rPr>
        <w:t>http://www.psp.wa.gov/documents.php</w:t>
      </w:r>
      <w:r w:rsidR="005402B1">
        <w:rPr>
          <w:shd w:val="clear" w:color="auto" w:fill="FFFFFF"/>
        </w:rPr>
        <w:t xml:space="preserve">).  Much of this body of work draws from the terminology and concepts used in the Open Standards for the Practice of Conservation </w:t>
      </w:r>
      <w:r w:rsidR="00667F8E">
        <w:rPr>
          <w:shd w:val="clear" w:color="auto" w:fill="FFFFFF"/>
        </w:rPr>
        <w:t xml:space="preserve">(CMP, 2013; Schwartz et al., 2012). </w:t>
      </w:r>
      <w:r w:rsidR="005402B1">
        <w:rPr>
          <w:shd w:val="clear" w:color="auto" w:fill="FFFFFF"/>
        </w:rPr>
        <w:t xml:space="preserve"> </w:t>
      </w:r>
      <w:r w:rsidR="005A0F2B">
        <w:rPr>
          <w:shd w:val="clear" w:color="auto" w:fill="FFFFFF"/>
        </w:rPr>
        <w:t xml:space="preserve">Building on this body of work, we present a </w:t>
      </w:r>
      <w:r w:rsidR="00A3161B">
        <w:rPr>
          <w:shd w:val="clear" w:color="auto" w:fill="FFFFFF"/>
        </w:rPr>
        <w:t xml:space="preserve">process for defining a </w:t>
      </w:r>
      <w:r w:rsidR="005A0F2B">
        <w:rPr>
          <w:shd w:val="clear" w:color="auto" w:fill="FFFFFF"/>
        </w:rPr>
        <w:t>set of ecosystem c</w:t>
      </w:r>
      <w:r w:rsidR="00A3161B">
        <w:rPr>
          <w:shd w:val="clear" w:color="auto" w:fill="FFFFFF"/>
        </w:rPr>
        <w:t xml:space="preserve">omponents and key attributes </w:t>
      </w:r>
      <w:r w:rsidR="005A0F2B">
        <w:rPr>
          <w:shd w:val="clear" w:color="auto" w:fill="FFFFFF"/>
        </w:rPr>
        <w:t xml:space="preserve">within the terrestrial, freshwater aquatic, and marine/nearshore environment contexts </w:t>
      </w:r>
      <w:r w:rsidR="0059369E">
        <w:rPr>
          <w:shd w:val="clear" w:color="auto" w:fill="FFFFFF"/>
        </w:rPr>
        <w:t>that will serve as the basis for assessing and comparing the potential impacts of stressors around the Puget Sound basin</w:t>
      </w:r>
      <w:r w:rsidR="005A0F2B">
        <w:rPr>
          <w:shd w:val="clear" w:color="auto" w:fill="FFFFFF"/>
        </w:rPr>
        <w:t>.</w:t>
      </w:r>
    </w:p>
    <w:p w14:paraId="441AFAFE" w14:textId="30DC6A8F" w:rsidR="00AE2DA5" w:rsidRPr="00C951EC" w:rsidRDefault="003713BC" w:rsidP="00B2357A">
      <w:pPr>
        <w:rPr>
          <w:shd w:val="clear" w:color="auto" w:fill="FFFFFF"/>
        </w:rPr>
      </w:pPr>
      <w:r w:rsidRPr="00730CBA">
        <w:rPr>
          <w:shd w:val="clear" w:color="auto" w:fill="FFFFFF"/>
        </w:rPr>
        <w:t xml:space="preserve">Both natural drivers of ecosystem change and </w:t>
      </w:r>
      <w:r>
        <w:rPr>
          <w:shd w:val="clear" w:color="auto" w:fill="FFFFFF"/>
        </w:rPr>
        <w:t>stressors</w:t>
      </w:r>
      <w:r w:rsidRPr="00730CBA">
        <w:rPr>
          <w:shd w:val="clear" w:color="auto" w:fill="FFFFFF"/>
        </w:rPr>
        <w:t xml:space="preserve"> associated with human activities</w:t>
      </w:r>
      <w:r>
        <w:rPr>
          <w:shd w:val="clear" w:color="auto" w:fill="FFFFFF"/>
        </w:rPr>
        <w:t xml:space="preserve"> </w:t>
      </w:r>
      <w:r w:rsidRPr="00730CBA">
        <w:rPr>
          <w:shd w:val="clear" w:color="auto" w:fill="FFFFFF"/>
        </w:rPr>
        <w:t>affect Puget Sound ecosystems, ecosystem components and attributes, and human wellbeing</w:t>
      </w:r>
      <w:r>
        <w:rPr>
          <w:shd w:val="clear" w:color="auto" w:fill="FFFFFF"/>
        </w:rPr>
        <w:t xml:space="preserve">.  </w:t>
      </w:r>
      <w:r w:rsidR="001B1E99">
        <w:rPr>
          <w:shd w:val="clear" w:color="auto" w:fill="FFFFFF"/>
        </w:rPr>
        <w:t xml:space="preserve">These </w:t>
      </w:r>
      <w:r w:rsidR="006C5C91">
        <w:rPr>
          <w:shd w:val="clear" w:color="auto" w:fill="FFFFFF"/>
        </w:rPr>
        <w:t xml:space="preserve">complicated </w:t>
      </w:r>
      <w:r w:rsidR="001B1E99">
        <w:rPr>
          <w:shd w:val="clear" w:color="auto" w:fill="FFFFFF"/>
        </w:rPr>
        <w:t>agents of change are organized within a pressures taxonomy that differentiates between “pressure classes”</w:t>
      </w:r>
      <w:r w:rsidR="006C5C91">
        <w:rPr>
          <w:shd w:val="clear" w:color="auto" w:fill="FFFFFF"/>
        </w:rPr>
        <w:t xml:space="preserve"> (groups of related pressures), pressures </w:t>
      </w:r>
      <w:r w:rsidR="001B1E99">
        <w:rPr>
          <w:rStyle w:val="FootnoteReference"/>
          <w:color w:val="222222"/>
          <w:shd w:val="clear" w:color="auto" w:fill="FFFFFF"/>
        </w:rPr>
        <w:t xml:space="preserve"> </w:t>
      </w:r>
      <w:r w:rsidR="006C5C91">
        <w:rPr>
          <w:shd w:val="clear" w:color="auto" w:fill="FFFFFF"/>
        </w:rPr>
        <w:t>(</w:t>
      </w:r>
      <w:r w:rsidR="001B1E99">
        <w:rPr>
          <w:shd w:val="clear" w:color="auto" w:fill="FFFFFF"/>
        </w:rPr>
        <w:t xml:space="preserve">sources of stress), </w:t>
      </w:r>
      <w:r w:rsidR="006C5C91">
        <w:rPr>
          <w:shd w:val="clear" w:color="auto" w:fill="FFFFFF"/>
        </w:rPr>
        <w:t>and stressors</w:t>
      </w:r>
      <w:r w:rsidR="001A5844">
        <w:rPr>
          <w:shd w:val="clear" w:color="auto" w:fill="FFFFFF"/>
        </w:rPr>
        <w:t xml:space="preserve"> that effect change within the ecosystem through interactions with particular </w:t>
      </w:r>
      <w:r w:rsidR="0059369E">
        <w:rPr>
          <w:shd w:val="clear" w:color="auto" w:fill="FFFFFF"/>
        </w:rPr>
        <w:t xml:space="preserve">ecosystem </w:t>
      </w:r>
      <w:r w:rsidR="001A5844">
        <w:rPr>
          <w:shd w:val="clear" w:color="auto" w:fill="FFFFFF"/>
        </w:rPr>
        <w:t>components or attributes</w:t>
      </w:r>
      <w:r w:rsidR="006C5C91">
        <w:rPr>
          <w:shd w:val="clear" w:color="auto" w:fill="FFFFFF"/>
        </w:rPr>
        <w:t>.</w:t>
      </w:r>
      <w:r w:rsidR="00CC41D3">
        <w:rPr>
          <w:shd w:val="clear" w:color="auto" w:fill="FFFFFF"/>
        </w:rPr>
        <w:t xml:space="preserve">  We define the ecosystem component or attribute </w:t>
      </w:r>
      <w:r w:rsidR="004F3B7E">
        <w:rPr>
          <w:shd w:val="clear" w:color="auto" w:fill="FFFFFF"/>
        </w:rPr>
        <w:t>impacted by a stressor as the “ecosystem endpoint”, to highlight its role within this interaction</w:t>
      </w:r>
      <w:r w:rsidR="0059369E">
        <w:rPr>
          <w:shd w:val="clear" w:color="auto" w:fill="FFFFFF"/>
        </w:rPr>
        <w:t xml:space="preserve"> and to reflect its importance within the conceptual model of Puget Sound recovery</w:t>
      </w:r>
      <w:r w:rsidR="004F3B7E">
        <w:rPr>
          <w:shd w:val="clear" w:color="auto" w:fill="FFFFFF"/>
        </w:rPr>
        <w:t>.</w:t>
      </w:r>
      <w:r w:rsidR="006C5C91">
        <w:rPr>
          <w:shd w:val="clear" w:color="auto" w:fill="FFFFFF"/>
        </w:rPr>
        <w:t xml:space="preserve">  The exact n</w:t>
      </w:r>
      <w:r w:rsidR="001A5844">
        <w:rPr>
          <w:shd w:val="clear" w:color="auto" w:fill="FFFFFF"/>
        </w:rPr>
        <w:t xml:space="preserve">ature of </w:t>
      </w:r>
      <w:r w:rsidR="004F3B7E">
        <w:rPr>
          <w:shd w:val="clear" w:color="auto" w:fill="FFFFFF"/>
        </w:rPr>
        <w:t>the interactions between stressors and endpoints</w:t>
      </w:r>
      <w:r w:rsidR="001A5844">
        <w:rPr>
          <w:shd w:val="clear" w:color="auto" w:fill="FFFFFF"/>
        </w:rPr>
        <w:t xml:space="preserve"> is</w:t>
      </w:r>
      <w:r w:rsidR="006C5C91">
        <w:rPr>
          <w:shd w:val="clear" w:color="auto" w:fill="FFFFFF"/>
        </w:rPr>
        <w:t xml:space="preserve"> understood through a causal model</w:t>
      </w:r>
      <w:r w:rsidR="00086B87">
        <w:rPr>
          <w:rStyle w:val="FootnoteReference"/>
          <w:shd w:val="clear" w:color="auto" w:fill="FFFFFF"/>
        </w:rPr>
        <w:footnoteReference w:id="1"/>
      </w:r>
      <w:r w:rsidR="006C5C91">
        <w:rPr>
          <w:shd w:val="clear" w:color="auto" w:fill="FFFFFF"/>
        </w:rPr>
        <w:t xml:space="preserve"> that describes </w:t>
      </w:r>
      <w:r w:rsidR="001A5844">
        <w:rPr>
          <w:shd w:val="clear" w:color="auto" w:fill="FFFFFF"/>
        </w:rPr>
        <w:t xml:space="preserve">the mechanisms of change for a particular context. </w:t>
      </w:r>
      <w:r w:rsidR="00AE2DA5">
        <w:rPr>
          <w:shd w:val="clear" w:color="auto" w:fill="FFFFFF"/>
        </w:rPr>
        <w:t xml:space="preserve">Broadly, </w:t>
      </w:r>
      <w:r w:rsidR="00086B87">
        <w:rPr>
          <w:shd w:val="clear" w:color="auto" w:fill="FFFFFF"/>
        </w:rPr>
        <w:t xml:space="preserve">the stressors associated with pressures </w:t>
      </w:r>
      <w:r w:rsidR="00B8665A">
        <w:rPr>
          <w:shd w:val="clear" w:color="auto" w:fill="FFFFFF"/>
        </w:rPr>
        <w:t>can</w:t>
      </w:r>
      <w:r w:rsidR="00AE2DA5">
        <w:rPr>
          <w:shd w:val="clear" w:color="auto" w:fill="FFFFFF"/>
        </w:rPr>
        <w:t xml:space="preserve"> ultimately </w:t>
      </w:r>
      <w:r w:rsidR="00810B8A">
        <w:rPr>
          <w:shd w:val="clear" w:color="auto" w:fill="FFFFFF"/>
        </w:rPr>
        <w:t>cause</w:t>
      </w:r>
      <w:r w:rsidR="00AE2DA5">
        <w:rPr>
          <w:shd w:val="clear" w:color="auto" w:fill="FFFFFF"/>
        </w:rPr>
        <w:t xml:space="preserve"> change</w:t>
      </w:r>
      <w:r w:rsidR="00810B8A">
        <w:rPr>
          <w:shd w:val="clear" w:color="auto" w:fill="FFFFFF"/>
        </w:rPr>
        <w:t>s</w:t>
      </w:r>
      <w:r w:rsidR="00AE2DA5">
        <w:rPr>
          <w:shd w:val="clear" w:color="auto" w:fill="FFFFFF"/>
        </w:rPr>
        <w:t xml:space="preserve"> in the ecosystem </w:t>
      </w:r>
      <w:r w:rsidR="00810B8A">
        <w:rPr>
          <w:shd w:val="clear" w:color="auto" w:fill="FFFFFF"/>
        </w:rPr>
        <w:t>through</w:t>
      </w:r>
      <w:r w:rsidR="00AE2DA5">
        <w:rPr>
          <w:shd w:val="clear" w:color="auto" w:fill="FFFFFF"/>
        </w:rPr>
        <w:t xml:space="preserve"> </w:t>
      </w:r>
      <w:r w:rsidR="00810B8A">
        <w:rPr>
          <w:shd w:val="clear" w:color="auto" w:fill="FFFFFF"/>
        </w:rPr>
        <w:lastRenderedPageBreak/>
        <w:t>altered processes, degraded or destroyed habitats, and other modifications to the natural system</w:t>
      </w:r>
      <w:r w:rsidR="00AE2DA5">
        <w:rPr>
          <w:shd w:val="clear" w:color="auto" w:fill="FFFFFF"/>
        </w:rPr>
        <w:t>. In recognition of the fact that both human-derived activities and natural pressures can have both positive and negative effects, and do not always pose a risk to Puget Sound ecosystems or ecosystem components</w:t>
      </w:r>
      <w:r w:rsidR="000B138E">
        <w:rPr>
          <w:shd w:val="clear" w:color="auto" w:fill="FFFFFF"/>
        </w:rPr>
        <w:t xml:space="preserve"> valued by people</w:t>
      </w:r>
      <w:r w:rsidR="00AE2DA5">
        <w:rPr>
          <w:shd w:val="clear" w:color="auto" w:fill="FFFFFF"/>
        </w:rPr>
        <w:t xml:space="preserve">, </w:t>
      </w:r>
      <w:r w:rsidR="00AE0FB7">
        <w:rPr>
          <w:shd w:val="clear" w:color="auto" w:fill="FFFFFF"/>
        </w:rPr>
        <w:t>the Puget Sound Partnership (PSP)</w:t>
      </w:r>
      <w:r w:rsidR="00AE2DA5">
        <w:rPr>
          <w:shd w:val="clear" w:color="auto" w:fill="FFFFFF"/>
        </w:rPr>
        <w:t xml:space="preserve"> refers to </w:t>
      </w:r>
      <w:r w:rsidR="00D97948">
        <w:rPr>
          <w:shd w:val="clear" w:color="auto" w:fill="FFFFFF"/>
        </w:rPr>
        <w:t>these activities and events as pressures rather than threats</w:t>
      </w:r>
      <w:r w:rsidR="00C951EC">
        <w:rPr>
          <w:shd w:val="clear" w:color="auto" w:fill="FFFFFF"/>
        </w:rPr>
        <w:t xml:space="preserve"> (Stiles et al., 2013).</w:t>
      </w:r>
    </w:p>
    <w:p w14:paraId="48B1DC57" w14:textId="6F91CA17" w:rsidR="00FF72FF" w:rsidRDefault="00D97948" w:rsidP="00B2357A">
      <w:r>
        <w:t xml:space="preserve">Pressures assessment refers to the systematic evaluation and comparison of the relative potential </w:t>
      </w:r>
      <w:r w:rsidR="00FF72FF">
        <w:t>impact</w:t>
      </w:r>
      <w:r>
        <w:t xml:space="preserve"> of pressures </w:t>
      </w:r>
      <w:r w:rsidR="00FF72FF">
        <w:t>on</w:t>
      </w:r>
      <w:r>
        <w:t xml:space="preserve"> ecosystems and ecosystem components, generally within the context of specific ecosystem management or recovery goals.  </w:t>
      </w:r>
      <w:r w:rsidR="00FF72FF">
        <w:t xml:space="preserve">  </w:t>
      </w:r>
      <w:r w:rsidR="004A42C4">
        <w:t>“A</w:t>
      </w:r>
      <w:r w:rsidR="00FF72FF">
        <w:t>ssessment endpoints</w:t>
      </w:r>
      <w:r w:rsidR="004A42C4">
        <w:t>”</w:t>
      </w:r>
      <w:r w:rsidR="00FF72FF">
        <w:t xml:space="preserve"> for an ecological risk assessment </w:t>
      </w:r>
      <w:r w:rsidR="004A42C4">
        <w:t xml:space="preserve">are chosen to </w:t>
      </w:r>
      <w:r w:rsidR="00FF72FF">
        <w:t xml:space="preserve">explicitly express the ecological values that are being managed or recovered, </w:t>
      </w:r>
      <w:r w:rsidR="004A42C4">
        <w:t>and are often</w:t>
      </w:r>
      <w:r w:rsidR="00FF72FF">
        <w:t xml:space="preserve"> defined in terms of ecosystem components and their attributes (EPA, 1992; </w:t>
      </w:r>
      <w:proofErr w:type="spellStart"/>
      <w:r w:rsidR="00FF72FF">
        <w:t>Suter</w:t>
      </w:r>
      <w:proofErr w:type="spellEnd"/>
      <w:r w:rsidR="00FF72FF">
        <w:t>, 2007).  The choice of assessment endpoints is the process by which ecosystem recovery and management planning goals are translated into specific attributes of the ecosystem that</w:t>
      </w:r>
      <w:r w:rsidR="004A42C4">
        <w:t xml:space="preserve"> is being recovered and managed.  Thus, assessment endpoints must be highly relevant to management and recovery decision-making and must capture the essential relationships between pressures and ecosystem impacts.</w:t>
      </w:r>
    </w:p>
    <w:p w14:paraId="2811B5EE" w14:textId="2DE120D3" w:rsidR="00564E55" w:rsidRPr="004925AB" w:rsidRDefault="00112ECC" w:rsidP="00564E55">
      <w:r>
        <w:t xml:space="preserve">The proposed pressures assessment </w:t>
      </w:r>
      <w:r w:rsidR="00FF72FF">
        <w:t xml:space="preserve">described in Section 3 </w:t>
      </w:r>
      <w:r>
        <w:t xml:space="preserve">builds on a number </w:t>
      </w:r>
      <w:r w:rsidR="00FF72FF">
        <w:t>of previous efforts to describe and characterize</w:t>
      </w:r>
      <w:r>
        <w:t xml:space="preserve"> pressures</w:t>
      </w:r>
      <w:r w:rsidR="00FF72FF">
        <w:t xml:space="preserve"> (sometimes referred to as</w:t>
      </w:r>
      <w:r>
        <w:t xml:space="preserve"> threats</w:t>
      </w:r>
      <w:r w:rsidR="00FF72FF">
        <w:t>)</w:t>
      </w:r>
      <w:r>
        <w:t xml:space="preserve"> to Puget Sound ecosystems (</w:t>
      </w:r>
      <w:r w:rsidR="00625363">
        <w:t>Pearson et al., 2011; Stiles et al., 2013</w:t>
      </w:r>
      <w:r>
        <w:t>). In 2008, the Puget Sound Partnership began a demonstration project (Ruckelshaus et al, 2008) to describe and characterize a small set of high-priority threats to Puget Sound ecosystems and species at the scale of the “action area”</w:t>
      </w:r>
      <w:r w:rsidRPr="00407772">
        <w:rPr>
          <w:rStyle w:val="FootnoteReference"/>
        </w:rPr>
        <w:t xml:space="preserve"> </w:t>
      </w:r>
      <w:r>
        <w:rPr>
          <w:rStyle w:val="FootnoteReference"/>
        </w:rPr>
        <w:footnoteReference w:id="2"/>
      </w:r>
      <w:r>
        <w:t xml:space="preserve"> using a DPSIR (Driver-Pressure-State-Impact-Response) framework (described in Section 2). In 2009, PSP developed a Sound-wide </w:t>
      </w:r>
      <w:r w:rsidR="004A42C4">
        <w:t>Pressures</w:t>
      </w:r>
      <w:r>
        <w:t xml:space="preserve"> Taxonomy including 26 </w:t>
      </w:r>
      <w:r w:rsidR="00FF72FF">
        <w:t>pressure</w:t>
      </w:r>
      <w:r>
        <w:t xml:space="preserve"> classes and, using an open standards approach with a focus on marine and nearshore assessment endpoints, ranked their importance in terms of potential </w:t>
      </w:r>
      <w:r w:rsidR="004A42C4">
        <w:t>pressures</w:t>
      </w:r>
      <w:r>
        <w:t xml:space="preserve"> to Puget Sound ecosystems (SOS</w:t>
      </w:r>
      <w:r w:rsidR="00023DD9">
        <w:t>,</w:t>
      </w:r>
      <w:r>
        <w:t xml:space="preserve"> 2009) at the Sound-wide scale</w:t>
      </w:r>
      <w:r w:rsidR="004925AB">
        <w:t xml:space="preserve">, using four </w:t>
      </w:r>
      <w:r w:rsidR="004A42C4">
        <w:t>potential impact</w:t>
      </w:r>
      <w:r w:rsidR="004925AB">
        <w:t xml:space="preserve"> classes ranging from “low” to “very high” (</w:t>
      </w:r>
      <w:proofErr w:type="spellStart"/>
      <w:r w:rsidR="004925AB">
        <w:t>Neuman</w:t>
      </w:r>
      <w:proofErr w:type="spellEnd"/>
      <w:r w:rsidR="004925AB">
        <w:t xml:space="preserve"> et al., 2009)</w:t>
      </w:r>
      <w:r>
        <w:t xml:space="preserve">. The 2009 </w:t>
      </w:r>
      <w:r w:rsidR="004A42C4">
        <w:t>Pressures</w:t>
      </w:r>
      <w:r>
        <w:t xml:space="preserve"> Taxonomy was used as the basis for a Sound-wide list of pressures to Puget Sound Chinook by the Recovery Implementation Technical Team (RITT) as part of the development of a common framework for watershed-scale Chinook adaptive management and monitoring efforts (RITT, 2012). Most recently, in 2012 an expert workgroup was convened to revise the 2009 </w:t>
      </w:r>
      <w:r w:rsidR="004A42C4">
        <w:t>pressure</w:t>
      </w:r>
      <w:r>
        <w:t xml:space="preserve"> classes to support prioritization of near-term actions for the 2012 Action Agenda update</w:t>
      </w:r>
      <w:r w:rsidR="00564E55">
        <w:t xml:space="preserve"> (PSP, 2012)</w:t>
      </w:r>
      <w:r>
        <w:t>.</w:t>
      </w:r>
      <w:r w:rsidR="00564E55">
        <w:t xml:space="preserve"> </w:t>
      </w:r>
      <w:r w:rsidR="003D43D9">
        <w:rPr>
          <w:shd w:val="clear" w:color="auto" w:fill="FFFFFF"/>
        </w:rPr>
        <w:t xml:space="preserve">Previous efforts to assess and compare ecosystem pressures in Puget Sound are described and reviewed </w:t>
      </w:r>
      <w:r w:rsidR="00CE5FB0">
        <w:rPr>
          <w:shd w:val="clear" w:color="auto" w:fill="FFFFFF"/>
        </w:rPr>
        <w:t xml:space="preserve">in </w:t>
      </w:r>
      <w:r w:rsidR="00C60045">
        <w:rPr>
          <w:shd w:val="clear" w:color="auto" w:fill="FFFFFF"/>
        </w:rPr>
        <w:t>the 2011 Puget Sound Science Update</w:t>
      </w:r>
      <w:r w:rsidR="005E6ADA">
        <w:rPr>
          <w:shd w:val="clear" w:color="auto" w:fill="FFFFFF"/>
        </w:rPr>
        <w:t xml:space="preserve"> (Pearson et al., 2011)</w:t>
      </w:r>
      <w:r w:rsidR="002430E9">
        <w:rPr>
          <w:shd w:val="clear" w:color="auto" w:fill="FFFFFF"/>
        </w:rPr>
        <w:t>.  To date, there have been no efforts to conduct</w:t>
      </w:r>
      <w:r w:rsidR="00D723FD">
        <w:rPr>
          <w:shd w:val="clear" w:color="auto" w:fill="FFFFFF"/>
        </w:rPr>
        <w:t xml:space="preserve"> a comprehensive pressures assessment for Puget Sound</w:t>
      </w:r>
      <w:r w:rsidR="005E6ADA">
        <w:rPr>
          <w:shd w:val="clear" w:color="auto" w:fill="FFFFFF"/>
        </w:rPr>
        <w:t xml:space="preserve">, as </w:t>
      </w:r>
      <w:r w:rsidR="00C60045">
        <w:rPr>
          <w:shd w:val="clear" w:color="auto" w:fill="FFFFFF"/>
        </w:rPr>
        <w:t>outlined in this report.</w:t>
      </w:r>
    </w:p>
    <w:p w14:paraId="13C603DA" w14:textId="6F757677" w:rsidR="00CE5FB0" w:rsidRPr="00564E55" w:rsidRDefault="00CE5FB0" w:rsidP="00564E55">
      <w:r>
        <w:rPr>
          <w:shd w:val="clear" w:color="auto" w:fill="FFFFFF"/>
        </w:rPr>
        <w:t xml:space="preserve">In this technical memorandum, </w:t>
      </w:r>
      <w:r w:rsidR="00424A53">
        <w:rPr>
          <w:shd w:val="clear" w:color="auto" w:fill="FFFFFF"/>
        </w:rPr>
        <w:t xml:space="preserve">we </w:t>
      </w:r>
      <w:r w:rsidR="00194E37">
        <w:rPr>
          <w:shd w:val="clear" w:color="auto" w:fill="FFFFFF"/>
        </w:rPr>
        <w:t>propose an approach for conducting a</w:t>
      </w:r>
      <w:r>
        <w:rPr>
          <w:shd w:val="clear" w:color="auto" w:fill="FFFFFF"/>
        </w:rPr>
        <w:t xml:space="preserve"> </w:t>
      </w:r>
      <w:r w:rsidR="00424A53">
        <w:rPr>
          <w:shd w:val="clear" w:color="auto" w:fill="FFFFFF"/>
        </w:rPr>
        <w:t>comprehensive</w:t>
      </w:r>
      <w:r>
        <w:rPr>
          <w:shd w:val="clear" w:color="auto" w:fill="FFFFFF"/>
        </w:rPr>
        <w:t xml:space="preserve"> </w:t>
      </w:r>
      <w:r w:rsidR="00424A53">
        <w:rPr>
          <w:shd w:val="clear" w:color="auto" w:fill="FFFFFF"/>
        </w:rPr>
        <w:t xml:space="preserve">pressures </w:t>
      </w:r>
      <w:r>
        <w:rPr>
          <w:shd w:val="clear" w:color="auto" w:fill="FFFFFF"/>
        </w:rPr>
        <w:t>as</w:t>
      </w:r>
      <w:r w:rsidR="00194E37">
        <w:rPr>
          <w:shd w:val="clear" w:color="auto" w:fill="FFFFFF"/>
        </w:rPr>
        <w:t xml:space="preserve">sessment.  When </w:t>
      </w:r>
      <w:r>
        <w:rPr>
          <w:shd w:val="clear" w:color="auto" w:fill="FFFFFF"/>
        </w:rPr>
        <w:t>implemented,</w:t>
      </w:r>
      <w:r w:rsidR="00194E37">
        <w:rPr>
          <w:shd w:val="clear" w:color="auto" w:fill="FFFFFF"/>
        </w:rPr>
        <w:t xml:space="preserve"> this assessment</w:t>
      </w:r>
      <w:r>
        <w:rPr>
          <w:shd w:val="clear" w:color="auto" w:fill="FFFFFF"/>
        </w:rPr>
        <w:t xml:space="preserve"> will serve as a </w:t>
      </w:r>
      <w:r w:rsidR="00424A53">
        <w:rPr>
          <w:shd w:val="clear" w:color="auto" w:fill="FFFFFF"/>
        </w:rPr>
        <w:t>foundational</w:t>
      </w:r>
      <w:r>
        <w:rPr>
          <w:shd w:val="clear" w:color="auto" w:fill="FFFFFF"/>
        </w:rPr>
        <w:t xml:space="preserve"> baseline assessment that can be used and built on in during successive iterations of the Puget Sound Partnership’s recovery </w:t>
      </w:r>
      <w:r>
        <w:rPr>
          <w:shd w:val="clear" w:color="auto" w:fill="FFFFFF"/>
        </w:rPr>
        <w:lastRenderedPageBreak/>
        <w:t xml:space="preserve">planning process, as well as local planning processes.  </w:t>
      </w:r>
      <w:r w:rsidR="00527DD7">
        <w:rPr>
          <w:shd w:val="clear" w:color="auto" w:fill="FFFFFF"/>
        </w:rPr>
        <w:t xml:space="preserve">Section 2 of this memo reviews </w:t>
      </w:r>
      <w:r w:rsidR="00424A53">
        <w:rPr>
          <w:shd w:val="clear" w:color="auto" w:fill="FFFFFF"/>
        </w:rPr>
        <w:t xml:space="preserve">several </w:t>
      </w:r>
      <w:r w:rsidR="00527DD7">
        <w:rPr>
          <w:shd w:val="clear" w:color="auto" w:fill="FFFFFF"/>
        </w:rPr>
        <w:t xml:space="preserve">pressures assessment </w:t>
      </w:r>
      <w:r w:rsidR="00C60045">
        <w:rPr>
          <w:shd w:val="clear" w:color="auto" w:fill="FFFFFF"/>
        </w:rPr>
        <w:t>frameworks</w:t>
      </w:r>
      <w:r w:rsidR="00527DD7">
        <w:rPr>
          <w:shd w:val="clear" w:color="auto" w:fill="FFFFFF"/>
        </w:rPr>
        <w:t xml:space="preserve"> that could be used</w:t>
      </w:r>
      <w:r w:rsidR="00194E37">
        <w:rPr>
          <w:shd w:val="clear" w:color="auto" w:fill="FFFFFF"/>
        </w:rPr>
        <w:t xml:space="preserve"> and Section 3 details the proposed approach, building on </w:t>
      </w:r>
      <w:r w:rsidR="00395992">
        <w:rPr>
          <w:shd w:val="clear" w:color="auto" w:fill="FFFFFF"/>
        </w:rPr>
        <w:t>aspects of</w:t>
      </w:r>
      <w:r w:rsidR="00194E37">
        <w:rPr>
          <w:shd w:val="clear" w:color="auto" w:fill="FFFFFF"/>
        </w:rPr>
        <w:t xml:space="preserve"> </w:t>
      </w:r>
      <w:r w:rsidR="00395992">
        <w:rPr>
          <w:shd w:val="clear" w:color="auto" w:fill="FFFFFF"/>
        </w:rPr>
        <w:t>the described</w:t>
      </w:r>
      <w:r w:rsidR="00194E37">
        <w:rPr>
          <w:shd w:val="clear" w:color="auto" w:fill="FFFFFF"/>
        </w:rPr>
        <w:t xml:space="preserve"> efforts</w:t>
      </w:r>
      <w:r w:rsidR="00395992">
        <w:rPr>
          <w:shd w:val="clear" w:color="auto" w:fill="FFFFFF"/>
        </w:rPr>
        <w:t>, but including novel contributions to the assessment and representation of uncertainty and the integrated assessment of intrinsic vulnerability, stressor intensity and distribution, and endpoint distribution</w:t>
      </w:r>
      <w:r w:rsidR="00194E37">
        <w:rPr>
          <w:shd w:val="clear" w:color="auto" w:fill="FFFFFF"/>
        </w:rPr>
        <w:t>.  In this report, w</w:t>
      </w:r>
      <w:r w:rsidR="00424A53">
        <w:rPr>
          <w:shd w:val="clear" w:color="auto" w:fill="FFFFFF"/>
        </w:rPr>
        <w:t xml:space="preserve">e </w:t>
      </w:r>
      <w:r w:rsidR="00C60045">
        <w:rPr>
          <w:shd w:val="clear" w:color="auto" w:fill="FFFFFF"/>
        </w:rPr>
        <w:t>explore</w:t>
      </w:r>
      <w:r w:rsidR="00424A53">
        <w:rPr>
          <w:shd w:val="clear" w:color="auto" w:fill="FFFFFF"/>
        </w:rPr>
        <w:t xml:space="preserve"> alternative assessment frameworks to help explain the proposed hybrid pressures assessment methodology and to make specific points through contrasting examples, but do not provide a detailed review or critique of other risk assessment methods or previous </w:t>
      </w:r>
      <w:r w:rsidR="00194E37">
        <w:rPr>
          <w:shd w:val="clear" w:color="auto" w:fill="FFFFFF"/>
        </w:rPr>
        <w:t>pressures/risk assessments</w:t>
      </w:r>
      <w:r w:rsidR="00424A53">
        <w:rPr>
          <w:shd w:val="clear" w:color="auto" w:fill="FFFFFF"/>
        </w:rPr>
        <w:t xml:space="preserve"> in Puget Sound.</w:t>
      </w:r>
    </w:p>
    <w:p w14:paraId="7AD15863" w14:textId="60EC4C12" w:rsidR="00724D7A" w:rsidRDefault="007B309A" w:rsidP="00316F9A">
      <w:pPr>
        <w:widowControl/>
        <w:autoSpaceDE/>
        <w:autoSpaceDN/>
        <w:adjustRightInd/>
        <w:spacing w:before="0" w:after="0"/>
        <w:rPr>
          <w:shd w:val="clear" w:color="auto" w:fill="FFFFFF"/>
        </w:rPr>
      </w:pPr>
      <w:r>
        <w:rPr>
          <w:shd w:val="clear" w:color="auto" w:fill="FFFFFF"/>
        </w:rPr>
        <w:t xml:space="preserve">The proposed </w:t>
      </w:r>
      <w:r w:rsidR="00112ECC">
        <w:rPr>
          <w:shd w:val="clear" w:color="auto" w:fill="FFFFFF"/>
        </w:rPr>
        <w:t>pressures assessment methodology</w:t>
      </w:r>
      <w:r>
        <w:rPr>
          <w:shd w:val="clear" w:color="auto" w:fill="FFFFFF"/>
        </w:rPr>
        <w:t xml:space="preserve"> will result in a </w:t>
      </w:r>
      <w:r w:rsidR="00395992">
        <w:rPr>
          <w:shd w:val="clear" w:color="auto" w:fill="FFFFFF"/>
        </w:rPr>
        <w:t>set</w:t>
      </w:r>
      <w:r>
        <w:rPr>
          <w:shd w:val="clear" w:color="auto" w:fill="FFFFFF"/>
        </w:rPr>
        <w:t xml:space="preserve"> of intrinsic </w:t>
      </w:r>
      <w:r w:rsidR="00112ECC">
        <w:rPr>
          <w:shd w:val="clear" w:color="auto" w:fill="FFFFFF"/>
        </w:rPr>
        <w:t xml:space="preserve">ecosystem </w:t>
      </w:r>
      <w:r>
        <w:rPr>
          <w:shd w:val="clear" w:color="auto" w:fill="FFFFFF"/>
        </w:rPr>
        <w:t xml:space="preserve">vulnerability scores (Section 3) that </w:t>
      </w:r>
      <w:r>
        <w:t xml:space="preserve">reflect the impact that a given stressor </w:t>
      </w:r>
      <w:r w:rsidR="00395992">
        <w:t>e</w:t>
      </w:r>
      <w:r>
        <w:t>xhibit</w:t>
      </w:r>
      <w:r w:rsidR="00395992">
        <w:t>s</w:t>
      </w:r>
      <w:r>
        <w:t xml:space="preserve"> on a given assessment endpoint</w:t>
      </w:r>
      <w:r w:rsidR="00395992">
        <w:t xml:space="preserve">, assuming a high level of stressor intensity and the presence of the endpoint.  An independent assessment of the location and intensity of stressors and the location of endpoints could be combined with the assessed intrinsic vulnerability scores to generate </w:t>
      </w:r>
      <w:r w:rsidR="00155539">
        <w:rPr>
          <w:shd w:val="clear" w:color="auto" w:fill="FFFFFF"/>
        </w:rPr>
        <w:t xml:space="preserve">spatially-explicit </w:t>
      </w:r>
      <w:r w:rsidR="00395992">
        <w:rPr>
          <w:shd w:val="clear" w:color="auto" w:fill="FFFFFF"/>
        </w:rPr>
        <w:t>analyses</w:t>
      </w:r>
      <w:r w:rsidR="00155539">
        <w:rPr>
          <w:shd w:val="clear" w:color="auto" w:fill="FFFFFF"/>
        </w:rPr>
        <w:t xml:space="preserve"> of</w:t>
      </w:r>
      <w:r>
        <w:rPr>
          <w:shd w:val="clear" w:color="auto" w:fill="FFFFFF"/>
        </w:rPr>
        <w:t xml:space="preserve"> potential</w:t>
      </w:r>
      <w:r w:rsidR="00155539">
        <w:rPr>
          <w:shd w:val="clear" w:color="auto" w:fill="FFFFFF"/>
        </w:rPr>
        <w:t xml:space="preserve"> ecosystem</w:t>
      </w:r>
      <w:r>
        <w:rPr>
          <w:shd w:val="clear" w:color="auto" w:fill="FFFFFF"/>
        </w:rPr>
        <w:t xml:space="preserve"> impacts </w:t>
      </w:r>
      <w:r w:rsidR="00155539">
        <w:rPr>
          <w:shd w:val="clear" w:color="auto" w:fill="FFFFFF"/>
        </w:rPr>
        <w:t xml:space="preserve">from </w:t>
      </w:r>
      <w:r w:rsidR="00395992">
        <w:rPr>
          <w:shd w:val="clear" w:color="auto" w:fill="FFFFFF"/>
        </w:rPr>
        <w:t>the assessed stressors, including impact maps</w:t>
      </w:r>
      <w:r w:rsidR="00155539">
        <w:rPr>
          <w:shd w:val="clear" w:color="auto" w:fill="FFFFFF"/>
        </w:rPr>
        <w:t xml:space="preserve"> (</w:t>
      </w:r>
      <w:r w:rsidR="00112ECC">
        <w:rPr>
          <w:shd w:val="clear" w:color="auto" w:fill="FFFFFF"/>
        </w:rPr>
        <w:t xml:space="preserve">e.g., Halpern, 2008; </w:t>
      </w:r>
      <w:r w:rsidR="00155539">
        <w:rPr>
          <w:shd w:val="clear" w:color="auto" w:fill="FFFFFF"/>
        </w:rPr>
        <w:t>HELCOM, 2010</w:t>
      </w:r>
      <w:r w:rsidR="00DE0BF3">
        <w:rPr>
          <w:shd w:val="clear" w:color="auto" w:fill="FFFFFF"/>
        </w:rPr>
        <w:t xml:space="preserve">; Ban et al., 2010).  </w:t>
      </w:r>
      <w:r w:rsidR="00395992">
        <w:rPr>
          <w:shd w:val="clear" w:color="auto" w:fill="FFFFFF"/>
        </w:rPr>
        <w:t>D</w:t>
      </w:r>
      <w:r w:rsidR="00DE0BF3">
        <w:rPr>
          <w:shd w:val="clear" w:color="auto" w:fill="FFFFFF"/>
        </w:rPr>
        <w:t>eveloping this</w:t>
      </w:r>
      <w:r w:rsidR="00112ECC">
        <w:rPr>
          <w:shd w:val="clear" w:color="auto" w:fill="FFFFFF"/>
        </w:rPr>
        <w:t xml:space="preserve"> </w:t>
      </w:r>
      <w:proofErr w:type="gramStart"/>
      <w:r w:rsidR="00112ECC">
        <w:rPr>
          <w:shd w:val="clear" w:color="auto" w:fill="FFFFFF"/>
        </w:rPr>
        <w:t>spatially-explicit</w:t>
      </w:r>
      <w:proofErr w:type="gramEnd"/>
      <w:r w:rsidR="00112ECC">
        <w:rPr>
          <w:shd w:val="clear" w:color="auto" w:fill="FFFFFF"/>
        </w:rPr>
        <w:t xml:space="preserve"> analysis </w:t>
      </w:r>
      <w:r w:rsidR="00395992">
        <w:rPr>
          <w:shd w:val="clear" w:color="auto" w:fill="FFFFFF"/>
        </w:rPr>
        <w:t xml:space="preserve">will involve </w:t>
      </w:r>
      <w:r w:rsidR="00112ECC">
        <w:rPr>
          <w:shd w:val="clear" w:color="auto" w:fill="FFFFFF"/>
        </w:rPr>
        <w:t xml:space="preserve">additional steps beyond the </w:t>
      </w:r>
      <w:r w:rsidR="00F61D68">
        <w:rPr>
          <w:shd w:val="clear" w:color="auto" w:fill="FFFFFF"/>
        </w:rPr>
        <w:t>intrinsic vulnerability assessment, including the gathering of available data and GIS-supported spatial analyses, building on simple models of stressor-endpoint interactions.</w:t>
      </w:r>
    </w:p>
    <w:p w14:paraId="63715624" w14:textId="77777777" w:rsidR="00296199" w:rsidRDefault="00296199" w:rsidP="00316F9A">
      <w:pPr>
        <w:widowControl/>
        <w:autoSpaceDE/>
        <w:autoSpaceDN/>
        <w:adjustRightInd/>
        <w:spacing w:before="0" w:after="0"/>
        <w:rPr>
          <w:shd w:val="clear" w:color="auto" w:fill="FFFFFF"/>
        </w:rPr>
      </w:pPr>
    </w:p>
    <w:p w14:paraId="12C97AAA" w14:textId="02BC456E" w:rsidR="00296199" w:rsidRDefault="00F61D68" w:rsidP="00296199">
      <w:pPr>
        <w:widowControl/>
        <w:autoSpaceDE/>
        <w:autoSpaceDN/>
        <w:adjustRightInd/>
        <w:spacing w:before="0" w:after="0"/>
        <w:rPr>
          <w:shd w:val="clear" w:color="auto" w:fill="FFFFFF"/>
        </w:rPr>
      </w:pPr>
      <w:r>
        <w:rPr>
          <w:shd w:val="clear" w:color="auto" w:fill="FFFFFF"/>
        </w:rPr>
        <w:t>W</w:t>
      </w:r>
      <w:r w:rsidR="00296199">
        <w:rPr>
          <w:shd w:val="clear" w:color="auto" w:fill="FFFFFF"/>
        </w:rPr>
        <w:t xml:space="preserve">e conceptualize this ecosystem pressures assessment within a long-term regional-scale coastal ecosystem restoration/recovery planning effort (Figure 1).  In </w:t>
      </w:r>
      <w:r w:rsidR="008C2EB9">
        <w:rPr>
          <w:shd w:val="clear" w:color="auto" w:fill="FFFFFF"/>
        </w:rPr>
        <w:t>PSP’s conceptual model of Puget Sound recovery (Figure 1)</w:t>
      </w:r>
      <w:r w:rsidR="00296199">
        <w:rPr>
          <w:shd w:val="clear" w:color="auto" w:fill="FFFFFF"/>
        </w:rPr>
        <w:t>, e</w:t>
      </w:r>
      <w:r w:rsidR="00296199" w:rsidRPr="00A47F4B">
        <w:rPr>
          <w:shd w:val="clear" w:color="auto" w:fill="FFFFFF"/>
        </w:rPr>
        <w:t>cosystem</w:t>
      </w:r>
      <w:r w:rsidR="00296199">
        <w:rPr>
          <w:rFonts w:ascii="Calibri" w:hAnsi="Calibri" w:cs="Calibri"/>
          <w:shd w:val="clear" w:color="auto" w:fill="FFFFFF"/>
        </w:rPr>
        <w:t xml:space="preserve"> </w:t>
      </w:r>
      <w:r w:rsidR="00296199" w:rsidRPr="00A47F4B">
        <w:rPr>
          <w:shd w:val="clear" w:color="auto" w:fill="FFFFFF"/>
        </w:rPr>
        <w:t>components</w:t>
      </w:r>
      <w:r w:rsidR="00296199">
        <w:rPr>
          <w:rFonts w:ascii="Calibri" w:hAnsi="Calibri" w:cs="Calibri"/>
          <w:shd w:val="clear" w:color="auto" w:fill="FFFFFF"/>
        </w:rPr>
        <w:t xml:space="preserve"> </w:t>
      </w:r>
      <w:r w:rsidR="00296199">
        <w:rPr>
          <w:shd w:val="clear" w:color="auto" w:fill="FFFFFF"/>
        </w:rPr>
        <w:t>refer to</w:t>
      </w:r>
      <w:r w:rsidR="00296199">
        <w:rPr>
          <w:rFonts w:ascii="Calibri" w:hAnsi="Calibri" w:cs="Calibri"/>
          <w:shd w:val="clear" w:color="auto" w:fill="FFFFFF"/>
        </w:rPr>
        <w:t xml:space="preserve"> </w:t>
      </w:r>
      <w:r w:rsidR="00296199" w:rsidRPr="00A47F4B">
        <w:rPr>
          <w:shd w:val="clear" w:color="auto" w:fill="FFFFFF"/>
        </w:rPr>
        <w:t>the</w:t>
      </w:r>
      <w:r w:rsidR="00296199">
        <w:rPr>
          <w:rFonts w:ascii="Calibri" w:hAnsi="Calibri" w:cs="Calibri"/>
          <w:shd w:val="clear" w:color="auto" w:fill="FFFFFF"/>
        </w:rPr>
        <w:t xml:space="preserve"> </w:t>
      </w:r>
      <w:r w:rsidR="00296199" w:rsidRPr="00A47F4B">
        <w:rPr>
          <w:shd w:val="clear" w:color="auto" w:fill="FFFFFF"/>
        </w:rPr>
        <w:t>major</w:t>
      </w:r>
      <w:r w:rsidR="00296199">
        <w:rPr>
          <w:rFonts w:ascii="Calibri" w:hAnsi="Calibri" w:cs="Calibri"/>
          <w:shd w:val="clear" w:color="auto" w:fill="FFFFFF"/>
        </w:rPr>
        <w:t xml:space="preserve"> </w:t>
      </w:r>
      <w:r w:rsidR="00296199" w:rsidRPr="00A47F4B">
        <w:rPr>
          <w:shd w:val="clear" w:color="auto" w:fill="FFFFFF"/>
        </w:rPr>
        <w:t>ecological</w:t>
      </w:r>
      <w:r w:rsidR="00296199">
        <w:rPr>
          <w:rFonts w:ascii="Calibri" w:hAnsi="Calibri" w:cs="Calibri"/>
          <w:shd w:val="clear" w:color="auto" w:fill="FFFFFF"/>
        </w:rPr>
        <w:t xml:space="preserve"> </w:t>
      </w:r>
      <w:r w:rsidR="00296199">
        <w:rPr>
          <w:shd w:val="clear" w:color="auto" w:fill="FFFFFF"/>
        </w:rPr>
        <w:t xml:space="preserve"> </w:t>
      </w:r>
      <w:r w:rsidR="00296199" w:rsidRPr="00A47F4B">
        <w:rPr>
          <w:shd w:val="clear" w:color="auto" w:fill="FFFFFF"/>
        </w:rPr>
        <w:t>characteristics</w:t>
      </w:r>
      <w:r w:rsidR="00296199">
        <w:rPr>
          <w:rFonts w:ascii="Calibri" w:hAnsi="Calibri" w:cs="Calibri"/>
          <w:shd w:val="clear" w:color="auto" w:fill="FFFFFF"/>
        </w:rPr>
        <w:t xml:space="preserve"> </w:t>
      </w:r>
      <w:r w:rsidR="00296199" w:rsidRPr="00A47F4B">
        <w:rPr>
          <w:shd w:val="clear" w:color="auto" w:fill="FFFFFF"/>
        </w:rPr>
        <w:t>used</w:t>
      </w:r>
      <w:r w:rsidR="00296199">
        <w:rPr>
          <w:rFonts w:ascii="Calibri" w:hAnsi="Calibri" w:cs="Calibri"/>
          <w:shd w:val="clear" w:color="auto" w:fill="FFFFFF"/>
        </w:rPr>
        <w:t xml:space="preserve"> </w:t>
      </w:r>
      <w:r w:rsidR="00296199">
        <w:rPr>
          <w:shd w:val="clear" w:color="auto" w:fill="FFFFFF"/>
        </w:rPr>
        <w:t xml:space="preserve">to conceptualize and </w:t>
      </w:r>
      <w:r w:rsidR="00296199" w:rsidRPr="00A47F4B">
        <w:rPr>
          <w:shd w:val="clear" w:color="auto" w:fill="FFFFFF"/>
        </w:rPr>
        <w:t>organize</w:t>
      </w:r>
      <w:r w:rsidR="00296199">
        <w:rPr>
          <w:rFonts w:ascii="Calibri" w:hAnsi="Calibri" w:cs="Calibri"/>
          <w:shd w:val="clear" w:color="auto" w:fill="FFFFFF"/>
        </w:rPr>
        <w:t xml:space="preserve"> </w:t>
      </w:r>
      <w:r w:rsidR="00296199" w:rsidRPr="00A47F4B">
        <w:rPr>
          <w:shd w:val="clear" w:color="auto" w:fill="FFFFFF"/>
        </w:rPr>
        <w:t>information</w:t>
      </w:r>
      <w:r w:rsidR="00296199">
        <w:rPr>
          <w:rFonts w:ascii="Calibri" w:hAnsi="Calibri" w:cs="Calibri"/>
          <w:shd w:val="clear" w:color="auto" w:fill="FFFFFF"/>
        </w:rPr>
        <w:t xml:space="preserve"> </w:t>
      </w:r>
      <w:r w:rsidR="00296199" w:rsidRPr="00A47F4B">
        <w:rPr>
          <w:shd w:val="clear" w:color="auto" w:fill="FFFFFF"/>
        </w:rPr>
        <w:t>about</w:t>
      </w:r>
      <w:r w:rsidR="00296199">
        <w:rPr>
          <w:rFonts w:ascii="Calibri" w:hAnsi="Calibri" w:cs="Calibri"/>
          <w:shd w:val="clear" w:color="auto" w:fill="FFFFFF"/>
        </w:rPr>
        <w:t xml:space="preserve"> </w:t>
      </w:r>
      <w:r w:rsidR="00296199">
        <w:rPr>
          <w:shd w:val="clear" w:color="auto" w:fill="FFFFFF"/>
        </w:rPr>
        <w:t>an ecosystem or linked ecosystems</w:t>
      </w:r>
      <w:r w:rsidR="00296199">
        <w:rPr>
          <w:rFonts w:ascii="Calibri" w:hAnsi="Calibri" w:cs="Calibri"/>
          <w:shd w:val="clear" w:color="auto" w:fill="FFFFFF"/>
        </w:rPr>
        <w:t xml:space="preserve"> </w:t>
      </w:r>
      <w:r w:rsidR="00296199" w:rsidRPr="00A47F4B">
        <w:rPr>
          <w:shd w:val="clear" w:color="auto" w:fill="FFFFFF"/>
        </w:rPr>
        <w:t>(Levin</w:t>
      </w:r>
      <w:r w:rsidR="00296199">
        <w:rPr>
          <w:rFonts w:ascii="Calibri" w:hAnsi="Calibri" w:cs="Calibri"/>
          <w:shd w:val="clear" w:color="auto" w:fill="FFFFFF"/>
        </w:rPr>
        <w:t xml:space="preserve"> </w:t>
      </w:r>
      <w:r w:rsidR="00296199" w:rsidRPr="00A47F4B">
        <w:rPr>
          <w:shd w:val="clear" w:color="auto" w:fill="FFFFFF"/>
        </w:rPr>
        <w:t>et</w:t>
      </w:r>
      <w:r w:rsidR="00296199">
        <w:rPr>
          <w:rFonts w:ascii="Calibri" w:hAnsi="Calibri" w:cs="Calibri"/>
          <w:shd w:val="clear" w:color="auto" w:fill="FFFFFF"/>
        </w:rPr>
        <w:t xml:space="preserve"> </w:t>
      </w:r>
      <w:r w:rsidR="00296199" w:rsidRPr="00A47F4B">
        <w:rPr>
          <w:shd w:val="clear" w:color="auto" w:fill="FFFFFF"/>
        </w:rPr>
        <w:t>al.</w:t>
      </w:r>
      <w:r w:rsidR="00296199">
        <w:rPr>
          <w:shd w:val="clear" w:color="auto" w:fill="FFFFFF"/>
        </w:rPr>
        <w:t>,</w:t>
      </w:r>
      <w:r w:rsidR="00296199">
        <w:rPr>
          <w:rFonts w:ascii="Calibri" w:hAnsi="Calibri" w:cs="Calibri"/>
          <w:shd w:val="clear" w:color="auto" w:fill="FFFFFF"/>
        </w:rPr>
        <w:t xml:space="preserve"> </w:t>
      </w:r>
      <w:r w:rsidR="00296199" w:rsidRPr="00A47F4B">
        <w:rPr>
          <w:shd w:val="clear" w:color="auto" w:fill="FFFFFF"/>
        </w:rPr>
        <w:t>2010)</w:t>
      </w:r>
      <w:r w:rsidR="00296199">
        <w:rPr>
          <w:rFonts w:ascii="Calibri" w:hAnsi="Calibri" w:cs="Calibri"/>
          <w:shd w:val="clear" w:color="auto" w:fill="FFFFFF"/>
        </w:rPr>
        <w:t xml:space="preserve"> </w:t>
      </w:r>
      <w:r w:rsidR="00296199" w:rsidRPr="00A47F4B">
        <w:rPr>
          <w:shd w:val="clear" w:color="auto" w:fill="FFFFFF"/>
        </w:rPr>
        <w:t>and</w:t>
      </w:r>
      <w:r w:rsidR="00296199">
        <w:rPr>
          <w:rFonts w:ascii="Calibri" w:hAnsi="Calibri" w:cs="Calibri"/>
          <w:shd w:val="clear" w:color="auto" w:fill="FFFFFF"/>
        </w:rPr>
        <w:t xml:space="preserve"> </w:t>
      </w:r>
      <w:r w:rsidR="00296199" w:rsidRPr="00A47F4B">
        <w:rPr>
          <w:shd w:val="clear" w:color="auto" w:fill="FFFFFF"/>
        </w:rPr>
        <w:t>the</w:t>
      </w:r>
      <w:r w:rsidR="00296199">
        <w:rPr>
          <w:rFonts w:ascii="Calibri" w:hAnsi="Calibri" w:cs="Calibri"/>
          <w:shd w:val="clear" w:color="auto" w:fill="FFFFFF"/>
        </w:rPr>
        <w:t xml:space="preserve"> associated </w:t>
      </w:r>
      <w:r w:rsidR="00296199" w:rsidRPr="00A47F4B">
        <w:rPr>
          <w:shd w:val="clear" w:color="auto" w:fill="FFFFFF"/>
        </w:rPr>
        <w:t>ecosystem</w:t>
      </w:r>
      <w:r w:rsidR="00296199">
        <w:rPr>
          <w:rFonts w:ascii="Calibri" w:hAnsi="Calibri" w:cs="Calibri"/>
          <w:shd w:val="clear" w:color="auto" w:fill="FFFFFF"/>
        </w:rPr>
        <w:t xml:space="preserve"> </w:t>
      </w:r>
      <w:r w:rsidR="00296199" w:rsidRPr="00A47F4B">
        <w:rPr>
          <w:shd w:val="clear" w:color="auto" w:fill="FFFFFF"/>
        </w:rPr>
        <w:t>services</w:t>
      </w:r>
      <w:r w:rsidR="00296199">
        <w:rPr>
          <w:rFonts w:ascii="Calibri" w:hAnsi="Calibri" w:cs="Calibri"/>
          <w:shd w:val="clear" w:color="auto" w:fill="FFFFFF"/>
        </w:rPr>
        <w:t xml:space="preserve"> </w:t>
      </w:r>
      <w:r w:rsidR="00296199" w:rsidRPr="00A47F4B">
        <w:rPr>
          <w:shd w:val="clear" w:color="auto" w:fill="FFFFFF"/>
        </w:rPr>
        <w:t>(MEA</w:t>
      </w:r>
      <w:r w:rsidR="00296199">
        <w:rPr>
          <w:shd w:val="clear" w:color="auto" w:fill="FFFFFF"/>
        </w:rPr>
        <w:t>,</w:t>
      </w:r>
      <w:r w:rsidR="00296199">
        <w:rPr>
          <w:rFonts w:ascii="Calibri" w:hAnsi="Calibri" w:cs="Calibri"/>
          <w:shd w:val="clear" w:color="auto" w:fill="FFFFFF"/>
        </w:rPr>
        <w:t xml:space="preserve"> </w:t>
      </w:r>
      <w:r w:rsidR="00296199">
        <w:rPr>
          <w:shd w:val="clear" w:color="auto" w:fill="FFFFFF"/>
        </w:rPr>
        <w:t>2003;</w:t>
      </w:r>
      <w:r w:rsidR="00296199">
        <w:rPr>
          <w:rFonts w:ascii="Calibri" w:hAnsi="Calibri" w:cs="Calibri"/>
          <w:shd w:val="clear" w:color="auto" w:fill="FFFFFF"/>
        </w:rPr>
        <w:t xml:space="preserve"> </w:t>
      </w:r>
      <w:r w:rsidR="00296199" w:rsidRPr="00A47F4B">
        <w:rPr>
          <w:shd w:val="clear" w:color="auto" w:fill="FFFFFF"/>
        </w:rPr>
        <w:t>Gomez</w:t>
      </w:r>
      <w:r w:rsidR="00296199">
        <w:rPr>
          <w:rFonts w:ascii="Calibri" w:hAnsi="Calibri" w:cs="Calibri"/>
          <w:shd w:val="clear" w:color="auto" w:fill="FFFFFF"/>
        </w:rPr>
        <w:t>-</w:t>
      </w:r>
      <w:proofErr w:type="spellStart"/>
      <w:r w:rsidR="00296199" w:rsidRPr="00A47F4B">
        <w:rPr>
          <w:shd w:val="clear" w:color="auto" w:fill="FFFFFF"/>
        </w:rPr>
        <w:t>Baggethun</w:t>
      </w:r>
      <w:proofErr w:type="spellEnd"/>
      <w:r w:rsidR="00296199">
        <w:rPr>
          <w:rFonts w:ascii="Calibri" w:hAnsi="Calibri" w:cs="Calibri"/>
          <w:shd w:val="clear" w:color="auto" w:fill="FFFFFF"/>
        </w:rPr>
        <w:t xml:space="preserve"> </w:t>
      </w:r>
      <w:r w:rsidR="00296199" w:rsidRPr="00A47F4B">
        <w:rPr>
          <w:shd w:val="clear" w:color="auto" w:fill="FFFFFF"/>
        </w:rPr>
        <w:t>et</w:t>
      </w:r>
      <w:r w:rsidR="00296199">
        <w:rPr>
          <w:rFonts w:ascii="Calibri" w:hAnsi="Calibri" w:cs="Calibri"/>
          <w:shd w:val="clear" w:color="auto" w:fill="FFFFFF"/>
        </w:rPr>
        <w:t xml:space="preserve"> </w:t>
      </w:r>
      <w:r w:rsidR="00296199" w:rsidRPr="00A47F4B">
        <w:rPr>
          <w:shd w:val="clear" w:color="auto" w:fill="FFFFFF"/>
        </w:rPr>
        <w:t>al.</w:t>
      </w:r>
      <w:r w:rsidR="00296199">
        <w:rPr>
          <w:shd w:val="clear" w:color="auto" w:fill="FFFFFF"/>
        </w:rPr>
        <w:t>,</w:t>
      </w:r>
      <w:r w:rsidR="00296199">
        <w:rPr>
          <w:rFonts w:ascii="Calibri" w:hAnsi="Calibri" w:cs="Calibri"/>
          <w:shd w:val="clear" w:color="auto" w:fill="FFFFFF"/>
        </w:rPr>
        <w:t xml:space="preserve"> </w:t>
      </w:r>
      <w:r w:rsidR="00296199" w:rsidRPr="00A47F4B">
        <w:rPr>
          <w:shd w:val="clear" w:color="auto" w:fill="FFFFFF"/>
        </w:rPr>
        <w:t>2009).</w:t>
      </w:r>
      <w:r w:rsidR="00296199">
        <w:rPr>
          <w:rFonts w:ascii="Calibri" w:hAnsi="Calibri" w:cs="Calibri"/>
          <w:shd w:val="clear" w:color="auto" w:fill="FFFFFF"/>
        </w:rPr>
        <w:t xml:space="preserve"> </w:t>
      </w:r>
      <w:r w:rsidR="00296199" w:rsidRPr="00A47F4B">
        <w:rPr>
          <w:shd w:val="clear" w:color="auto" w:fill="FFFFFF"/>
        </w:rPr>
        <w:t>Pressures</w:t>
      </w:r>
      <w:r w:rsidR="00296199">
        <w:rPr>
          <w:rFonts w:ascii="Calibri" w:hAnsi="Calibri" w:cs="Calibri"/>
          <w:shd w:val="clear" w:color="auto" w:fill="FFFFFF"/>
        </w:rPr>
        <w:t xml:space="preserve"> </w:t>
      </w:r>
      <w:r w:rsidR="00296199" w:rsidRPr="00A47F4B">
        <w:rPr>
          <w:shd w:val="clear" w:color="auto" w:fill="FFFFFF"/>
        </w:rPr>
        <w:t>are</w:t>
      </w:r>
      <w:r w:rsidR="00296199">
        <w:rPr>
          <w:rFonts w:ascii="Calibri" w:hAnsi="Calibri" w:cs="Calibri"/>
          <w:shd w:val="clear" w:color="auto" w:fill="FFFFFF"/>
        </w:rPr>
        <w:t xml:space="preserve"> </w:t>
      </w:r>
      <w:r w:rsidR="00296199" w:rsidRPr="00A47F4B">
        <w:rPr>
          <w:shd w:val="clear" w:color="auto" w:fill="FFFFFF"/>
        </w:rPr>
        <w:t>human</w:t>
      </w:r>
      <w:r w:rsidR="00296199">
        <w:rPr>
          <w:rFonts w:ascii="Calibri" w:hAnsi="Calibri" w:cs="Calibri"/>
          <w:shd w:val="clear" w:color="auto" w:fill="FFFFFF"/>
        </w:rPr>
        <w:t xml:space="preserve"> </w:t>
      </w:r>
      <w:r w:rsidR="00296199" w:rsidRPr="00A47F4B">
        <w:rPr>
          <w:shd w:val="clear" w:color="auto" w:fill="FFFFFF"/>
        </w:rPr>
        <w:t>activities</w:t>
      </w:r>
      <w:r w:rsidR="00296199">
        <w:rPr>
          <w:rFonts w:ascii="Calibri" w:hAnsi="Calibri" w:cs="Calibri"/>
          <w:shd w:val="clear" w:color="auto" w:fill="FFFFFF"/>
        </w:rPr>
        <w:t xml:space="preserve"> or human-influenced natural processes </w:t>
      </w:r>
      <w:r w:rsidR="00296199" w:rsidRPr="00A47F4B">
        <w:rPr>
          <w:shd w:val="clear" w:color="auto" w:fill="FFFFFF"/>
        </w:rPr>
        <w:t>that</w:t>
      </w:r>
      <w:r w:rsidR="00296199">
        <w:rPr>
          <w:rFonts w:ascii="Calibri" w:hAnsi="Calibri" w:cs="Calibri"/>
          <w:shd w:val="clear" w:color="auto" w:fill="FFFFFF"/>
        </w:rPr>
        <w:t xml:space="preserve"> </w:t>
      </w:r>
      <w:r w:rsidR="00296199" w:rsidRPr="00A47F4B">
        <w:rPr>
          <w:shd w:val="clear" w:color="auto" w:fill="FFFFFF"/>
        </w:rPr>
        <w:t>impact</w:t>
      </w:r>
      <w:r w:rsidR="00296199">
        <w:rPr>
          <w:rFonts w:ascii="Calibri" w:hAnsi="Calibri" w:cs="Calibri"/>
          <w:shd w:val="clear" w:color="auto" w:fill="FFFFFF"/>
        </w:rPr>
        <w:t xml:space="preserve"> </w:t>
      </w:r>
      <w:r w:rsidR="00296199" w:rsidRPr="00A47F4B">
        <w:rPr>
          <w:shd w:val="clear" w:color="auto" w:fill="FFFFFF"/>
        </w:rPr>
        <w:t>the</w:t>
      </w:r>
      <w:r w:rsidR="00296199">
        <w:rPr>
          <w:rFonts w:ascii="Calibri" w:hAnsi="Calibri" w:cs="Calibri"/>
          <w:shd w:val="clear" w:color="auto" w:fill="FFFFFF"/>
        </w:rPr>
        <w:t xml:space="preserve"> </w:t>
      </w:r>
      <w:r w:rsidR="00296199" w:rsidRPr="00A47F4B">
        <w:rPr>
          <w:shd w:val="clear" w:color="auto" w:fill="FFFFFF"/>
        </w:rPr>
        <w:t>ecosystem</w:t>
      </w:r>
      <w:r w:rsidR="00296199">
        <w:rPr>
          <w:rFonts w:ascii="Calibri" w:hAnsi="Calibri" w:cs="Calibri"/>
          <w:shd w:val="clear" w:color="auto" w:fill="FFFFFF"/>
        </w:rPr>
        <w:t xml:space="preserve">, </w:t>
      </w:r>
      <w:r w:rsidR="00296199" w:rsidRPr="00A47F4B">
        <w:rPr>
          <w:shd w:val="clear" w:color="auto" w:fill="FFFFFF"/>
        </w:rPr>
        <w:t>leading</w:t>
      </w:r>
      <w:r w:rsidR="00296199">
        <w:rPr>
          <w:rFonts w:ascii="Calibri" w:hAnsi="Calibri" w:cs="Calibri"/>
          <w:shd w:val="clear" w:color="auto" w:fill="FFFFFF"/>
        </w:rPr>
        <w:t xml:space="preserve"> </w:t>
      </w:r>
      <w:r w:rsidR="00296199" w:rsidRPr="00A47F4B">
        <w:rPr>
          <w:shd w:val="clear" w:color="auto" w:fill="FFFFFF"/>
        </w:rPr>
        <w:t>to</w:t>
      </w:r>
      <w:r w:rsidR="00296199">
        <w:rPr>
          <w:rFonts w:ascii="Calibri" w:hAnsi="Calibri" w:cs="Calibri"/>
          <w:shd w:val="clear" w:color="auto" w:fill="FFFFFF"/>
        </w:rPr>
        <w:t xml:space="preserve"> </w:t>
      </w:r>
      <w:r w:rsidR="00296199">
        <w:rPr>
          <w:shd w:val="clear" w:color="auto" w:fill="FFFFFF"/>
        </w:rPr>
        <w:t>changes in state or dynamics</w:t>
      </w:r>
      <w:r w:rsidR="00296199">
        <w:rPr>
          <w:rFonts w:ascii="Calibri" w:hAnsi="Calibri" w:cs="Calibri"/>
          <w:shd w:val="clear" w:color="auto" w:fill="FFFFFF"/>
        </w:rPr>
        <w:t xml:space="preserve"> </w:t>
      </w:r>
      <w:r w:rsidR="00296199" w:rsidRPr="00A47F4B">
        <w:rPr>
          <w:shd w:val="clear" w:color="auto" w:fill="FFFFFF"/>
        </w:rPr>
        <w:t>(EEA</w:t>
      </w:r>
      <w:r w:rsidR="00296199">
        <w:rPr>
          <w:shd w:val="clear" w:color="auto" w:fill="FFFFFF"/>
        </w:rPr>
        <w:t>,</w:t>
      </w:r>
      <w:r w:rsidR="00296199">
        <w:rPr>
          <w:rFonts w:ascii="Calibri" w:hAnsi="Calibri" w:cs="Calibri"/>
          <w:shd w:val="clear" w:color="auto" w:fill="FFFFFF"/>
        </w:rPr>
        <w:t xml:space="preserve"> </w:t>
      </w:r>
      <w:r w:rsidR="00296199">
        <w:rPr>
          <w:shd w:val="clear" w:color="auto" w:fill="FFFFFF"/>
        </w:rPr>
        <w:t xml:space="preserve">1999; </w:t>
      </w:r>
      <w:r w:rsidR="00296199" w:rsidRPr="00A47F4B">
        <w:rPr>
          <w:shd w:val="clear" w:color="auto" w:fill="FFFFFF"/>
        </w:rPr>
        <w:t>Carr</w:t>
      </w:r>
      <w:r w:rsidR="00296199">
        <w:rPr>
          <w:rFonts w:ascii="Calibri" w:hAnsi="Calibri" w:cs="Calibri"/>
          <w:shd w:val="clear" w:color="auto" w:fill="FFFFFF"/>
        </w:rPr>
        <w:t xml:space="preserve"> </w:t>
      </w:r>
      <w:r w:rsidR="00296199" w:rsidRPr="00A47F4B">
        <w:rPr>
          <w:shd w:val="clear" w:color="auto" w:fill="FFFFFF"/>
        </w:rPr>
        <w:t>et</w:t>
      </w:r>
      <w:r w:rsidR="00296199">
        <w:rPr>
          <w:rFonts w:ascii="Calibri" w:hAnsi="Calibri" w:cs="Calibri"/>
          <w:shd w:val="clear" w:color="auto" w:fill="FFFFFF"/>
        </w:rPr>
        <w:t xml:space="preserve"> </w:t>
      </w:r>
      <w:r w:rsidR="00296199" w:rsidRPr="00A47F4B">
        <w:rPr>
          <w:shd w:val="clear" w:color="auto" w:fill="FFFFFF"/>
        </w:rPr>
        <w:t>al.</w:t>
      </w:r>
      <w:r w:rsidR="00296199">
        <w:rPr>
          <w:rFonts w:ascii="Calibri" w:hAnsi="Calibri" w:cs="Calibri"/>
          <w:shd w:val="clear" w:color="auto" w:fill="FFFFFF"/>
        </w:rPr>
        <w:t xml:space="preserve"> </w:t>
      </w:r>
      <w:r w:rsidR="00296199" w:rsidRPr="00A47F4B">
        <w:rPr>
          <w:shd w:val="clear" w:color="auto" w:fill="FFFFFF"/>
        </w:rPr>
        <w:t>2007).</w:t>
      </w:r>
      <w:r w:rsidR="00296199">
        <w:rPr>
          <w:rFonts w:ascii="Calibri" w:hAnsi="Calibri" w:cs="Calibri"/>
          <w:shd w:val="clear" w:color="auto" w:fill="FFFFFF"/>
        </w:rPr>
        <w:t xml:space="preserve"> </w:t>
      </w:r>
      <w:r w:rsidR="00296199" w:rsidRPr="00A47F4B">
        <w:rPr>
          <w:shd w:val="clear" w:color="auto" w:fill="FFFFFF"/>
        </w:rPr>
        <w:t>Drivers</w:t>
      </w:r>
      <w:r w:rsidR="008C2EB9">
        <w:rPr>
          <w:rStyle w:val="FootnoteReference"/>
          <w:shd w:val="clear" w:color="auto" w:fill="FFFFFF"/>
        </w:rPr>
        <w:footnoteReference w:id="3"/>
      </w:r>
      <w:r w:rsidR="00296199">
        <w:rPr>
          <w:rFonts w:ascii="Calibri" w:hAnsi="Calibri" w:cs="Calibri"/>
          <w:shd w:val="clear" w:color="auto" w:fill="FFFFFF"/>
        </w:rPr>
        <w:t xml:space="preserve"> </w:t>
      </w:r>
      <w:r w:rsidR="00296199" w:rsidRPr="00A47F4B">
        <w:rPr>
          <w:shd w:val="clear" w:color="auto" w:fill="FFFFFF"/>
        </w:rPr>
        <w:t>are</w:t>
      </w:r>
      <w:r w:rsidR="00296199">
        <w:rPr>
          <w:rFonts w:ascii="Calibri" w:hAnsi="Calibri" w:cs="Calibri"/>
          <w:shd w:val="clear" w:color="auto" w:fill="FFFFFF"/>
        </w:rPr>
        <w:t xml:space="preserve"> </w:t>
      </w:r>
      <w:r w:rsidR="00296199" w:rsidRPr="00A47F4B">
        <w:rPr>
          <w:shd w:val="clear" w:color="auto" w:fill="FFFFFF"/>
        </w:rPr>
        <w:t>fundamental</w:t>
      </w:r>
      <w:r w:rsidR="00296199">
        <w:rPr>
          <w:rFonts w:ascii="Calibri" w:hAnsi="Calibri" w:cs="Calibri"/>
          <w:shd w:val="clear" w:color="auto" w:fill="FFFFFF"/>
        </w:rPr>
        <w:t xml:space="preserve"> </w:t>
      </w:r>
      <w:r w:rsidR="00296199" w:rsidRPr="00A47F4B">
        <w:rPr>
          <w:shd w:val="clear" w:color="auto" w:fill="FFFFFF"/>
        </w:rPr>
        <w:t>social</w:t>
      </w:r>
      <w:r w:rsidR="00296199">
        <w:rPr>
          <w:rFonts w:ascii="Calibri" w:hAnsi="Calibri" w:cs="Calibri"/>
          <w:shd w:val="clear" w:color="auto" w:fill="FFFFFF"/>
        </w:rPr>
        <w:t xml:space="preserve"> or related </w:t>
      </w:r>
      <w:r w:rsidR="00296199" w:rsidRPr="00A47F4B">
        <w:rPr>
          <w:shd w:val="clear" w:color="auto" w:fill="FFFFFF"/>
        </w:rPr>
        <w:t>processes</w:t>
      </w:r>
      <w:r w:rsidR="00296199">
        <w:rPr>
          <w:rFonts w:ascii="Calibri" w:hAnsi="Calibri" w:cs="Calibri"/>
          <w:shd w:val="clear" w:color="auto" w:fill="FFFFFF"/>
        </w:rPr>
        <w:t xml:space="preserve"> </w:t>
      </w:r>
      <w:r w:rsidR="00296199" w:rsidRPr="00A47F4B">
        <w:rPr>
          <w:shd w:val="clear" w:color="auto" w:fill="FFFFFF"/>
        </w:rPr>
        <w:t>that</w:t>
      </w:r>
      <w:r w:rsidR="00296199">
        <w:rPr>
          <w:rFonts w:ascii="Calibri" w:hAnsi="Calibri" w:cs="Calibri"/>
          <w:shd w:val="clear" w:color="auto" w:fill="FFFFFF"/>
        </w:rPr>
        <w:t xml:space="preserve"> </w:t>
      </w:r>
      <w:r w:rsidR="00296199" w:rsidRPr="00A47F4B">
        <w:rPr>
          <w:shd w:val="clear" w:color="auto" w:fill="FFFFFF"/>
        </w:rPr>
        <w:t>create</w:t>
      </w:r>
      <w:r w:rsidR="00296199">
        <w:rPr>
          <w:rFonts w:ascii="Calibri" w:hAnsi="Calibri" w:cs="Calibri"/>
          <w:shd w:val="clear" w:color="auto" w:fill="FFFFFF"/>
        </w:rPr>
        <w:t xml:space="preserve"> </w:t>
      </w:r>
      <w:r w:rsidR="00296199" w:rsidRPr="00A47F4B">
        <w:rPr>
          <w:shd w:val="clear" w:color="auto" w:fill="FFFFFF"/>
        </w:rPr>
        <w:t>pressures</w:t>
      </w:r>
      <w:r w:rsidR="00296199">
        <w:rPr>
          <w:rFonts w:ascii="Calibri" w:hAnsi="Calibri" w:cs="Calibri"/>
          <w:shd w:val="clear" w:color="auto" w:fill="FFFFFF"/>
        </w:rPr>
        <w:t xml:space="preserve"> </w:t>
      </w:r>
      <w:r w:rsidR="00296199" w:rsidRPr="00A47F4B">
        <w:rPr>
          <w:shd w:val="clear" w:color="auto" w:fill="FFFFFF"/>
        </w:rPr>
        <w:t>(Lackey</w:t>
      </w:r>
      <w:r w:rsidR="00296199">
        <w:rPr>
          <w:shd w:val="clear" w:color="auto" w:fill="FFFFFF"/>
        </w:rPr>
        <w:t>,</w:t>
      </w:r>
      <w:r w:rsidR="00296199">
        <w:rPr>
          <w:rFonts w:ascii="Calibri" w:hAnsi="Calibri" w:cs="Calibri"/>
          <w:shd w:val="clear" w:color="auto" w:fill="FFFFFF"/>
        </w:rPr>
        <w:t xml:space="preserve"> </w:t>
      </w:r>
      <w:r w:rsidR="00296199" w:rsidRPr="00A47F4B">
        <w:rPr>
          <w:shd w:val="clear" w:color="auto" w:fill="FFFFFF"/>
        </w:rPr>
        <w:t>2009)</w:t>
      </w:r>
      <w:r w:rsidR="008C2EB9">
        <w:rPr>
          <w:shd w:val="clear" w:color="auto" w:fill="FFFFFF"/>
        </w:rPr>
        <w:t>, e.g., human-induced climate change</w:t>
      </w:r>
      <w:r w:rsidR="00296199" w:rsidRPr="00A47F4B">
        <w:rPr>
          <w:shd w:val="clear" w:color="auto" w:fill="FFFFFF"/>
        </w:rPr>
        <w:t>.</w:t>
      </w:r>
      <w:r w:rsidR="00296199">
        <w:rPr>
          <w:rFonts w:ascii="Calibri" w:hAnsi="Calibri" w:cs="Calibri"/>
          <w:shd w:val="clear" w:color="auto" w:fill="FFFFFF"/>
        </w:rPr>
        <w:t xml:space="preserve">  </w:t>
      </w:r>
      <w:r w:rsidR="00C771C1">
        <w:rPr>
          <w:rFonts w:ascii="Calibri" w:hAnsi="Calibri" w:cs="Calibri"/>
          <w:shd w:val="clear" w:color="auto" w:fill="FFFFFF"/>
        </w:rPr>
        <w:t>As used in Figure 1, s</w:t>
      </w:r>
      <w:r w:rsidR="00296199" w:rsidRPr="00A47F4B">
        <w:rPr>
          <w:shd w:val="clear" w:color="auto" w:fill="FFFFFF"/>
        </w:rPr>
        <w:t>trategies</w:t>
      </w:r>
      <w:r w:rsidR="00296199">
        <w:rPr>
          <w:rFonts w:ascii="Calibri" w:hAnsi="Calibri" w:cs="Calibri"/>
          <w:shd w:val="clear" w:color="auto" w:fill="FFFFFF"/>
        </w:rPr>
        <w:t xml:space="preserve"> </w:t>
      </w:r>
      <w:r w:rsidR="00296199" w:rsidRPr="00A47F4B">
        <w:rPr>
          <w:shd w:val="clear" w:color="auto" w:fill="FFFFFF"/>
        </w:rPr>
        <w:t>are</w:t>
      </w:r>
      <w:r w:rsidR="00296199">
        <w:rPr>
          <w:rFonts w:ascii="Calibri" w:hAnsi="Calibri" w:cs="Calibri"/>
          <w:shd w:val="clear" w:color="auto" w:fill="FFFFFF"/>
        </w:rPr>
        <w:t xml:space="preserve"> </w:t>
      </w:r>
      <w:r w:rsidR="00296199" w:rsidRPr="00A47F4B">
        <w:rPr>
          <w:shd w:val="clear" w:color="auto" w:fill="FFFFFF"/>
        </w:rPr>
        <w:t>suites</w:t>
      </w:r>
      <w:r w:rsidR="00296199">
        <w:rPr>
          <w:rFonts w:ascii="Calibri" w:hAnsi="Calibri" w:cs="Calibri"/>
          <w:shd w:val="clear" w:color="auto" w:fill="FFFFFF"/>
        </w:rPr>
        <w:t xml:space="preserve"> </w:t>
      </w:r>
      <w:r w:rsidR="00296199" w:rsidRPr="00A47F4B">
        <w:rPr>
          <w:shd w:val="clear" w:color="auto" w:fill="FFFFFF"/>
        </w:rPr>
        <w:t>of</w:t>
      </w:r>
      <w:r w:rsidR="00296199">
        <w:rPr>
          <w:rFonts w:ascii="Calibri" w:hAnsi="Calibri" w:cs="Calibri"/>
          <w:shd w:val="clear" w:color="auto" w:fill="FFFFFF"/>
        </w:rPr>
        <w:t xml:space="preserve"> </w:t>
      </w:r>
      <w:r w:rsidR="00296199">
        <w:rPr>
          <w:shd w:val="clear" w:color="auto" w:fill="FFFFFF"/>
        </w:rPr>
        <w:t>human activities that are intended</w:t>
      </w:r>
      <w:r w:rsidR="00296199">
        <w:rPr>
          <w:rFonts w:ascii="Calibri" w:hAnsi="Calibri" w:cs="Calibri"/>
          <w:shd w:val="clear" w:color="auto" w:fill="FFFFFF"/>
        </w:rPr>
        <w:t xml:space="preserve"> </w:t>
      </w:r>
      <w:r w:rsidR="00296199" w:rsidRPr="00A47F4B">
        <w:rPr>
          <w:shd w:val="clear" w:color="auto" w:fill="FFFFFF"/>
        </w:rPr>
        <w:t>to</w:t>
      </w:r>
      <w:r w:rsidR="00296199">
        <w:rPr>
          <w:rFonts w:ascii="Calibri" w:hAnsi="Calibri" w:cs="Calibri"/>
          <w:shd w:val="clear" w:color="auto" w:fill="FFFFFF"/>
        </w:rPr>
        <w:t xml:space="preserve"> </w:t>
      </w:r>
      <w:r w:rsidR="00C771C1">
        <w:rPr>
          <w:rFonts w:ascii="Calibri" w:hAnsi="Calibri" w:cs="Calibri"/>
          <w:shd w:val="clear" w:color="auto" w:fill="FFFFFF"/>
        </w:rPr>
        <w:t xml:space="preserve">ameliorate pressures, mitigate impacts, or otherwise </w:t>
      </w:r>
      <w:r w:rsidR="00296199" w:rsidRPr="00A47F4B">
        <w:rPr>
          <w:shd w:val="clear" w:color="auto" w:fill="FFFFFF"/>
        </w:rPr>
        <w:t>respond</w:t>
      </w:r>
      <w:r w:rsidR="00296199">
        <w:rPr>
          <w:rFonts w:ascii="Calibri" w:hAnsi="Calibri" w:cs="Calibri"/>
          <w:shd w:val="clear" w:color="auto" w:fill="FFFFFF"/>
        </w:rPr>
        <w:t xml:space="preserve"> </w:t>
      </w:r>
      <w:r w:rsidR="00296199" w:rsidRPr="00A47F4B">
        <w:rPr>
          <w:shd w:val="clear" w:color="auto" w:fill="FFFFFF"/>
        </w:rPr>
        <w:t>to</w:t>
      </w:r>
      <w:r w:rsidR="00296199">
        <w:rPr>
          <w:rFonts w:ascii="Calibri" w:hAnsi="Calibri" w:cs="Calibri"/>
          <w:shd w:val="clear" w:color="auto" w:fill="FFFFFF"/>
        </w:rPr>
        <w:t xml:space="preserve"> </w:t>
      </w:r>
      <w:r w:rsidR="00296199" w:rsidRPr="00A47F4B">
        <w:rPr>
          <w:shd w:val="clear" w:color="auto" w:fill="FFFFFF"/>
        </w:rPr>
        <w:t>changes</w:t>
      </w:r>
      <w:r w:rsidR="00296199">
        <w:rPr>
          <w:rFonts w:ascii="Calibri" w:hAnsi="Calibri" w:cs="Calibri"/>
          <w:shd w:val="clear" w:color="auto" w:fill="FFFFFF"/>
        </w:rPr>
        <w:t xml:space="preserve"> </w:t>
      </w:r>
      <w:r w:rsidR="00296199" w:rsidRPr="00A47F4B">
        <w:rPr>
          <w:shd w:val="clear" w:color="auto" w:fill="FFFFFF"/>
        </w:rPr>
        <w:t>in</w:t>
      </w:r>
      <w:r w:rsidR="00296199">
        <w:rPr>
          <w:rFonts w:ascii="Calibri" w:hAnsi="Calibri" w:cs="Calibri"/>
          <w:shd w:val="clear" w:color="auto" w:fill="FFFFFF"/>
        </w:rPr>
        <w:t xml:space="preserve"> </w:t>
      </w:r>
      <w:r w:rsidR="00296199" w:rsidRPr="00A47F4B">
        <w:rPr>
          <w:shd w:val="clear" w:color="auto" w:fill="FFFFFF"/>
        </w:rPr>
        <w:t>the</w:t>
      </w:r>
      <w:r w:rsidR="00296199">
        <w:rPr>
          <w:rFonts w:ascii="Calibri" w:hAnsi="Calibri" w:cs="Calibri"/>
          <w:shd w:val="clear" w:color="auto" w:fill="FFFFFF"/>
        </w:rPr>
        <w:t xml:space="preserve"> </w:t>
      </w:r>
      <w:r w:rsidR="00296199" w:rsidRPr="00A47F4B">
        <w:rPr>
          <w:shd w:val="clear" w:color="auto" w:fill="FFFFFF"/>
        </w:rPr>
        <w:t>ecosystem</w:t>
      </w:r>
      <w:r w:rsidR="00296199">
        <w:rPr>
          <w:rFonts w:ascii="Calibri" w:hAnsi="Calibri" w:cs="Calibri"/>
          <w:shd w:val="clear" w:color="auto" w:fill="FFFFFF"/>
        </w:rPr>
        <w:t xml:space="preserve"> </w:t>
      </w:r>
      <w:r w:rsidR="00296199" w:rsidRPr="00A47F4B">
        <w:rPr>
          <w:shd w:val="clear" w:color="auto" w:fill="FFFFFF"/>
        </w:rPr>
        <w:t>and</w:t>
      </w:r>
      <w:r w:rsidR="00296199">
        <w:rPr>
          <w:rFonts w:ascii="Calibri" w:hAnsi="Calibri" w:cs="Calibri"/>
          <w:shd w:val="clear" w:color="auto" w:fill="FFFFFF"/>
        </w:rPr>
        <w:t xml:space="preserve"> </w:t>
      </w:r>
      <w:r w:rsidR="00296199" w:rsidRPr="00A47F4B">
        <w:rPr>
          <w:shd w:val="clear" w:color="auto" w:fill="FFFFFF"/>
        </w:rPr>
        <w:t>its</w:t>
      </w:r>
      <w:r w:rsidR="00296199">
        <w:rPr>
          <w:rFonts w:ascii="Calibri" w:hAnsi="Calibri" w:cs="Calibri"/>
          <w:shd w:val="clear" w:color="auto" w:fill="FFFFFF"/>
        </w:rPr>
        <w:t xml:space="preserve"> </w:t>
      </w:r>
      <w:r w:rsidR="00296199" w:rsidRPr="00A47F4B">
        <w:rPr>
          <w:shd w:val="clear" w:color="auto" w:fill="FFFFFF"/>
        </w:rPr>
        <w:t>services</w:t>
      </w:r>
      <w:r w:rsidR="00296199">
        <w:rPr>
          <w:shd w:val="clear" w:color="auto" w:fill="FFFFFF"/>
        </w:rPr>
        <w:t>, often reflecting the societal desire to control or influence the ecosystem in particular ways</w:t>
      </w:r>
      <w:r w:rsidR="00296199">
        <w:rPr>
          <w:rFonts w:ascii="Calibri" w:hAnsi="Calibri" w:cs="Calibri"/>
          <w:shd w:val="clear" w:color="auto" w:fill="FFFFFF"/>
        </w:rPr>
        <w:t xml:space="preserve"> </w:t>
      </w:r>
      <w:r w:rsidR="00296199" w:rsidRPr="00A47F4B">
        <w:rPr>
          <w:shd w:val="clear" w:color="auto" w:fill="FFFFFF"/>
        </w:rPr>
        <w:t>(Carr</w:t>
      </w:r>
      <w:r w:rsidR="00296199">
        <w:rPr>
          <w:rFonts w:ascii="Calibri" w:hAnsi="Calibri" w:cs="Calibri"/>
          <w:shd w:val="clear" w:color="auto" w:fill="FFFFFF"/>
        </w:rPr>
        <w:t xml:space="preserve"> </w:t>
      </w:r>
      <w:r w:rsidR="00296199" w:rsidRPr="00A47F4B">
        <w:rPr>
          <w:shd w:val="clear" w:color="auto" w:fill="FFFFFF"/>
        </w:rPr>
        <w:t>et</w:t>
      </w:r>
      <w:r w:rsidR="00296199">
        <w:rPr>
          <w:rFonts w:ascii="Calibri" w:hAnsi="Calibri" w:cs="Calibri"/>
          <w:shd w:val="clear" w:color="auto" w:fill="FFFFFF"/>
        </w:rPr>
        <w:t xml:space="preserve"> </w:t>
      </w:r>
      <w:r w:rsidR="00296199" w:rsidRPr="00A47F4B">
        <w:rPr>
          <w:shd w:val="clear" w:color="auto" w:fill="FFFFFF"/>
        </w:rPr>
        <w:t>al.</w:t>
      </w:r>
      <w:r w:rsidR="00296199">
        <w:rPr>
          <w:rFonts w:ascii="Calibri" w:hAnsi="Calibri" w:cs="Calibri"/>
          <w:shd w:val="clear" w:color="auto" w:fill="FFFFFF"/>
        </w:rPr>
        <w:t xml:space="preserve">, </w:t>
      </w:r>
      <w:r w:rsidR="00296199" w:rsidRPr="00A47F4B">
        <w:rPr>
          <w:shd w:val="clear" w:color="auto" w:fill="FFFFFF"/>
        </w:rPr>
        <w:t>2007).</w:t>
      </w:r>
      <w:r w:rsidR="00296199">
        <w:rPr>
          <w:rFonts w:ascii="Calibri" w:hAnsi="Calibri" w:cs="Calibri"/>
          <w:shd w:val="clear" w:color="auto" w:fill="FFFFFF"/>
        </w:rPr>
        <w:t xml:space="preserve">  Within this framework, the pressures assessment focuses on characterizing and comparing the potential impacts of pressures on assessment endpoints chosen to reflect ecosystem components and/or ecosystem services.</w:t>
      </w:r>
    </w:p>
    <w:p w14:paraId="56738214" w14:textId="77777777" w:rsidR="00296199" w:rsidRDefault="00296199" w:rsidP="00296199">
      <w:pPr>
        <w:widowControl/>
        <w:autoSpaceDE/>
        <w:autoSpaceDN/>
        <w:adjustRightInd/>
        <w:spacing w:before="0" w:after="0"/>
        <w:rPr>
          <w:shd w:val="clear" w:color="auto" w:fill="FFFFFF"/>
        </w:rPr>
      </w:pPr>
    </w:p>
    <w:p w14:paraId="28522D8E" w14:textId="77777777" w:rsidR="00296199" w:rsidRDefault="00296199" w:rsidP="00296199">
      <w:pPr>
        <w:widowControl/>
        <w:autoSpaceDE/>
        <w:autoSpaceDN/>
        <w:adjustRightInd/>
        <w:spacing w:before="0" w:after="0"/>
        <w:rPr>
          <w:shd w:val="clear" w:color="auto" w:fill="FFFFFF"/>
        </w:rPr>
      </w:pPr>
    </w:p>
    <w:p w14:paraId="73AA76D3" w14:textId="77777777" w:rsidR="00296199" w:rsidRDefault="00296199" w:rsidP="00296199">
      <w:pPr>
        <w:keepNext/>
      </w:pPr>
      <w:r>
        <w:rPr>
          <w:noProof/>
          <w:shd w:val="clear" w:color="auto" w:fill="FFFFFF"/>
        </w:rPr>
        <w:lastRenderedPageBreak/>
        <w:drawing>
          <wp:inline distT="0" distB="0" distL="0" distR="0" wp14:anchorId="2DB47DD0" wp14:editId="004B6EA1">
            <wp:extent cx="5821680" cy="276867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3557" cy="2769569"/>
                    </a:xfrm>
                    <a:prstGeom prst="rect">
                      <a:avLst/>
                    </a:prstGeom>
                    <a:noFill/>
                  </pic:spPr>
                </pic:pic>
              </a:graphicData>
            </a:graphic>
          </wp:inline>
        </w:drawing>
      </w:r>
    </w:p>
    <w:p w14:paraId="6D9D7F7A" w14:textId="474BE1F5" w:rsidR="00296199" w:rsidRDefault="00296199" w:rsidP="00296199">
      <w:pPr>
        <w:pStyle w:val="Caption"/>
      </w:pPr>
      <w:r>
        <w:t xml:space="preserve">Figure 1. </w:t>
      </w:r>
      <w:proofErr w:type="gramStart"/>
      <w:r w:rsidRPr="002E6821">
        <w:t>Conceptual model of Puget Sound recovery.</w:t>
      </w:r>
      <w:proofErr w:type="gramEnd"/>
      <w:r w:rsidRPr="002E6821">
        <w:t xml:space="preserve">  From the Puget Sound Partnership Biennial Science Work Plan, 2012.</w:t>
      </w:r>
    </w:p>
    <w:p w14:paraId="614AA016" w14:textId="77777777" w:rsidR="00671814" w:rsidRPr="00D44424" w:rsidRDefault="00671814" w:rsidP="0021441E">
      <w:pPr>
        <w:pStyle w:val="Heading3"/>
        <w:keepNext/>
        <w:keepLines/>
        <w:widowControl/>
      </w:pPr>
      <w:bookmarkStart w:id="3" w:name="_Toc256149255"/>
      <w:r>
        <w:t>Need for a Puget Sound pressures assessment</w:t>
      </w:r>
      <w:bookmarkEnd w:id="3"/>
    </w:p>
    <w:p w14:paraId="06EC5160" w14:textId="77777777" w:rsidR="00671814" w:rsidRDefault="00671814" w:rsidP="0021441E">
      <w:pPr>
        <w:keepNext/>
        <w:keepLines/>
        <w:widowControl/>
        <w:rPr>
          <w:shd w:val="clear" w:color="auto" w:fill="FFFFFF"/>
        </w:rPr>
      </w:pPr>
      <w:r>
        <w:rPr>
          <w:shd w:val="clear" w:color="auto" w:fill="FFFFFF"/>
        </w:rPr>
        <w:t>The design of a pressures assessment approach, or a risk assessment approach more generally, depends primarily on the goals of the management actions being supported (</w:t>
      </w:r>
      <w:proofErr w:type="spellStart"/>
      <w:r>
        <w:rPr>
          <w:shd w:val="clear" w:color="auto" w:fill="FFFFFF"/>
        </w:rPr>
        <w:t>Suter</w:t>
      </w:r>
      <w:proofErr w:type="spellEnd"/>
      <w:r>
        <w:rPr>
          <w:shd w:val="clear" w:color="auto" w:fill="FFFFFF"/>
        </w:rPr>
        <w:t>, 2007).  In other words, risk assessment is primarily about technical support for decision-making under uncertainty.  Implementation of the pressures assessment methodology laid out in this technical memorandum should support a broad array of Puget Sound recovery decision and planning activities including:</w:t>
      </w:r>
    </w:p>
    <w:p w14:paraId="71D459B5" w14:textId="41A946B4" w:rsidR="0021441E" w:rsidRDefault="00913D63" w:rsidP="0021441E">
      <w:pPr>
        <w:pStyle w:val="ListParagraph"/>
        <w:numPr>
          <w:ilvl w:val="0"/>
          <w:numId w:val="12"/>
        </w:numPr>
        <w:spacing w:before="0" w:after="0" w:line="240" w:lineRule="auto"/>
        <w:rPr>
          <w:shd w:val="clear" w:color="auto" w:fill="FFFFFF"/>
        </w:rPr>
      </w:pPr>
      <w:r>
        <w:rPr>
          <w:shd w:val="clear" w:color="auto" w:fill="FFFFFF"/>
        </w:rPr>
        <w:t>Evaluating</w:t>
      </w:r>
      <w:r w:rsidR="0021441E">
        <w:rPr>
          <w:shd w:val="clear" w:color="auto" w:fill="FFFFFF"/>
        </w:rPr>
        <w:t xml:space="preserve"> barriers to ecosystem recovery;</w:t>
      </w:r>
    </w:p>
    <w:p w14:paraId="32FA7A23" w14:textId="07359CC2" w:rsidR="00671814" w:rsidRDefault="00913D63" w:rsidP="0021441E">
      <w:pPr>
        <w:pStyle w:val="ListParagraph"/>
        <w:numPr>
          <w:ilvl w:val="0"/>
          <w:numId w:val="12"/>
        </w:numPr>
        <w:spacing w:before="0" w:after="0" w:line="240" w:lineRule="auto"/>
        <w:rPr>
          <w:shd w:val="clear" w:color="auto" w:fill="FFFFFF"/>
        </w:rPr>
      </w:pPr>
      <w:r>
        <w:rPr>
          <w:shd w:val="clear" w:color="auto" w:fill="FFFFFF"/>
        </w:rPr>
        <w:t xml:space="preserve">Coordinating </w:t>
      </w:r>
      <w:r w:rsidR="00671814">
        <w:rPr>
          <w:shd w:val="clear" w:color="auto" w:fill="FFFFFF"/>
        </w:rPr>
        <w:t>future iterations of watershed-scale planning, inclu</w:t>
      </w:r>
      <w:r>
        <w:rPr>
          <w:shd w:val="clear" w:color="auto" w:fill="FFFFFF"/>
        </w:rPr>
        <w:t xml:space="preserve">ding prioritizing </w:t>
      </w:r>
      <w:r w:rsidR="00671814">
        <w:rPr>
          <w:shd w:val="clear" w:color="auto" w:fill="FFFFFF"/>
        </w:rPr>
        <w:t>near-term recovery actions</w:t>
      </w:r>
      <w:r w:rsidR="0021441E">
        <w:rPr>
          <w:shd w:val="clear" w:color="auto" w:fill="FFFFFF"/>
        </w:rPr>
        <w:t>;</w:t>
      </w:r>
    </w:p>
    <w:p w14:paraId="4E2C5546" w14:textId="4D865352" w:rsidR="00671814" w:rsidRPr="009E5917" w:rsidRDefault="00913D63" w:rsidP="0021441E">
      <w:pPr>
        <w:pStyle w:val="ListParagraph"/>
        <w:numPr>
          <w:ilvl w:val="0"/>
          <w:numId w:val="12"/>
        </w:numPr>
        <w:spacing w:before="0" w:after="0" w:line="240" w:lineRule="auto"/>
        <w:rPr>
          <w:shd w:val="clear" w:color="auto" w:fill="FFFFFF"/>
        </w:rPr>
      </w:pPr>
      <w:r>
        <w:rPr>
          <w:shd w:val="clear" w:color="auto" w:fill="FFFFFF"/>
        </w:rPr>
        <w:t>Providing</w:t>
      </w:r>
      <w:r w:rsidR="00671814">
        <w:rPr>
          <w:shd w:val="clear" w:color="auto" w:fill="FFFFFF"/>
        </w:rPr>
        <w:t xml:space="preserve"> a common framework and foundation for more detailed local-scale pressures/risk assessment efforts</w:t>
      </w:r>
      <w:r w:rsidR="0021441E">
        <w:rPr>
          <w:shd w:val="clear" w:color="auto" w:fill="FFFFFF"/>
        </w:rPr>
        <w:t>;</w:t>
      </w:r>
    </w:p>
    <w:p w14:paraId="15D03FFD" w14:textId="4688245C" w:rsidR="00671814" w:rsidRDefault="00913D63" w:rsidP="0021441E">
      <w:pPr>
        <w:pStyle w:val="ListParagraph"/>
        <w:numPr>
          <w:ilvl w:val="0"/>
          <w:numId w:val="12"/>
        </w:numPr>
        <w:spacing w:before="0" w:after="0" w:line="240" w:lineRule="auto"/>
        <w:rPr>
          <w:shd w:val="clear" w:color="auto" w:fill="FFFFFF"/>
        </w:rPr>
      </w:pPr>
      <w:r>
        <w:rPr>
          <w:shd w:val="clear" w:color="auto" w:fill="FFFFFF"/>
        </w:rPr>
        <w:t xml:space="preserve">Prioritizing </w:t>
      </w:r>
      <w:r w:rsidR="00671814">
        <w:rPr>
          <w:shd w:val="clear" w:color="auto" w:fill="FFFFFF"/>
        </w:rPr>
        <w:t xml:space="preserve">recovery strategies and sub-strategies in the PSP’s recovery plan, the Action Agenda, </w:t>
      </w:r>
      <w:r>
        <w:rPr>
          <w:shd w:val="clear" w:color="auto" w:fill="FFFFFF"/>
        </w:rPr>
        <w:t xml:space="preserve">and otherwise </w:t>
      </w:r>
      <w:r w:rsidR="00671814">
        <w:rPr>
          <w:shd w:val="clear" w:color="auto" w:fill="FFFFFF"/>
        </w:rPr>
        <w:t>informing future updates to the Action Agenda</w:t>
      </w:r>
      <w:r w:rsidR="0021441E">
        <w:rPr>
          <w:shd w:val="clear" w:color="auto" w:fill="FFFFFF"/>
        </w:rPr>
        <w:t>;</w:t>
      </w:r>
    </w:p>
    <w:p w14:paraId="7133936A" w14:textId="2F48665C" w:rsidR="00671814" w:rsidRPr="00CB6B12" w:rsidRDefault="00913D63" w:rsidP="0021441E">
      <w:pPr>
        <w:widowControl/>
        <w:numPr>
          <w:ilvl w:val="0"/>
          <w:numId w:val="12"/>
        </w:numPr>
        <w:autoSpaceDE/>
        <w:autoSpaceDN/>
        <w:adjustRightInd/>
        <w:spacing w:before="0" w:after="0" w:line="240" w:lineRule="auto"/>
        <w:textAlignment w:val="baseline"/>
        <w:rPr>
          <w:shd w:val="clear" w:color="auto" w:fill="FFFFFF"/>
        </w:rPr>
      </w:pPr>
      <w:r>
        <w:rPr>
          <w:shd w:val="clear" w:color="auto" w:fill="FFFFFF"/>
        </w:rPr>
        <w:t>Prioritizing</w:t>
      </w:r>
      <w:r w:rsidR="00671814" w:rsidRPr="00CB6B12">
        <w:rPr>
          <w:shd w:val="clear" w:color="auto" w:fill="FFFFFF"/>
        </w:rPr>
        <w:t xml:space="preserve"> monitoring gaps by the Puget Sound </w:t>
      </w:r>
      <w:r w:rsidR="00671814" w:rsidRPr="00CB6B12">
        <w:rPr>
          <w:rFonts w:cs="Arial"/>
        </w:rPr>
        <w:t>Ecosystem Monitoring Program (PSEMP)</w:t>
      </w:r>
      <w:r w:rsidR="0021441E">
        <w:rPr>
          <w:rFonts w:cs="Arial"/>
        </w:rPr>
        <w:t>;</w:t>
      </w:r>
    </w:p>
    <w:p w14:paraId="62AB46C9" w14:textId="34B7D808" w:rsidR="00671814" w:rsidRPr="00CB6B12" w:rsidRDefault="00671814" w:rsidP="0021441E">
      <w:pPr>
        <w:widowControl/>
        <w:numPr>
          <w:ilvl w:val="0"/>
          <w:numId w:val="12"/>
        </w:numPr>
        <w:autoSpaceDE/>
        <w:autoSpaceDN/>
        <w:adjustRightInd/>
        <w:spacing w:before="0" w:after="0" w:line="240" w:lineRule="auto"/>
        <w:textAlignment w:val="baseline"/>
        <w:rPr>
          <w:shd w:val="clear" w:color="auto" w:fill="FFFFFF"/>
        </w:rPr>
      </w:pPr>
      <w:r>
        <w:rPr>
          <w:shd w:val="clear" w:color="auto" w:fill="FFFFFF"/>
        </w:rPr>
        <w:t>Supporting the implementation of the PSP’s Adaptive Management Framework</w:t>
      </w:r>
      <w:r w:rsidR="0021441E">
        <w:rPr>
          <w:shd w:val="clear" w:color="auto" w:fill="FFFFFF"/>
        </w:rPr>
        <w:t>;</w:t>
      </w:r>
    </w:p>
    <w:p w14:paraId="5FC781D5" w14:textId="0BE76833" w:rsidR="00671814" w:rsidRPr="00CB6B12" w:rsidRDefault="00671814" w:rsidP="0021441E">
      <w:pPr>
        <w:widowControl/>
        <w:numPr>
          <w:ilvl w:val="0"/>
          <w:numId w:val="12"/>
        </w:numPr>
        <w:autoSpaceDE/>
        <w:autoSpaceDN/>
        <w:adjustRightInd/>
        <w:spacing w:before="0" w:after="0" w:line="240" w:lineRule="auto"/>
        <w:textAlignment w:val="baseline"/>
        <w:rPr>
          <w:shd w:val="clear" w:color="auto" w:fill="FFFFFF"/>
        </w:rPr>
      </w:pPr>
      <w:r w:rsidRPr="00CB6B12">
        <w:rPr>
          <w:shd w:val="clear" w:color="auto" w:fill="FFFFFF"/>
        </w:rPr>
        <w:t>Informing updates to PSP’s system of indicators and targets</w:t>
      </w:r>
      <w:r w:rsidR="0021441E">
        <w:rPr>
          <w:shd w:val="clear" w:color="auto" w:fill="FFFFFF"/>
        </w:rPr>
        <w:t>;</w:t>
      </w:r>
    </w:p>
    <w:p w14:paraId="03CCA90A" w14:textId="29EE3668" w:rsidR="00671814" w:rsidRPr="00CB6B12" w:rsidRDefault="00913D63" w:rsidP="0021441E">
      <w:pPr>
        <w:widowControl/>
        <w:numPr>
          <w:ilvl w:val="0"/>
          <w:numId w:val="3"/>
        </w:numPr>
        <w:autoSpaceDE/>
        <w:autoSpaceDN/>
        <w:adjustRightInd/>
        <w:spacing w:before="0" w:after="0" w:line="240" w:lineRule="auto"/>
        <w:textAlignment w:val="baseline"/>
        <w:rPr>
          <w:rFonts w:cs="Arial"/>
          <w:sz w:val="23"/>
          <w:szCs w:val="23"/>
        </w:rPr>
      </w:pPr>
      <w:r>
        <w:rPr>
          <w:shd w:val="clear" w:color="auto" w:fill="FFFFFF"/>
        </w:rPr>
        <w:t>Identifying</w:t>
      </w:r>
      <w:r w:rsidR="00671814">
        <w:rPr>
          <w:rFonts w:cs="Arial"/>
        </w:rPr>
        <w:t xml:space="preserve"> information and knowledge gaps </w:t>
      </w:r>
      <w:r>
        <w:rPr>
          <w:rFonts w:cs="Arial"/>
        </w:rPr>
        <w:t xml:space="preserve">and prioritizing </w:t>
      </w:r>
      <w:r w:rsidR="00671814">
        <w:rPr>
          <w:rFonts w:cs="Arial"/>
        </w:rPr>
        <w:t>research needs related to pressures, stressors, and impacts to Puget Sound ecosystems, ecosystem components, and human wellbeing</w:t>
      </w:r>
      <w:r w:rsidR="0021441E">
        <w:rPr>
          <w:rFonts w:cs="Arial"/>
        </w:rPr>
        <w:t>; and</w:t>
      </w:r>
    </w:p>
    <w:p w14:paraId="5D7DA43F" w14:textId="05F88BA4" w:rsidR="00671814" w:rsidRPr="00834AD6" w:rsidRDefault="00671814" w:rsidP="0021441E">
      <w:pPr>
        <w:widowControl/>
        <w:numPr>
          <w:ilvl w:val="0"/>
          <w:numId w:val="3"/>
        </w:numPr>
        <w:autoSpaceDE/>
        <w:autoSpaceDN/>
        <w:adjustRightInd/>
        <w:spacing w:before="0" w:after="0" w:line="240" w:lineRule="auto"/>
        <w:textAlignment w:val="baseline"/>
        <w:rPr>
          <w:rFonts w:cs="Arial"/>
        </w:rPr>
      </w:pPr>
      <w:r>
        <w:rPr>
          <w:shd w:val="clear" w:color="auto" w:fill="FFFFFF"/>
        </w:rPr>
        <w:t>Supporting communications about the importance of</w:t>
      </w:r>
      <w:r>
        <w:rPr>
          <w:rFonts w:cs="Arial"/>
        </w:rPr>
        <w:t xml:space="preserve"> pressures, pressure reduction strategies, and related issues between partners, decision-makers, stakeholders, and the public</w:t>
      </w:r>
      <w:r w:rsidR="0021441E">
        <w:rPr>
          <w:rFonts w:cs="Arial"/>
        </w:rPr>
        <w:t>.</w:t>
      </w:r>
    </w:p>
    <w:p w14:paraId="3812E6E5" w14:textId="77777777" w:rsidR="00671814" w:rsidRPr="001332D3" w:rsidRDefault="00671814" w:rsidP="00A769AE">
      <w:pPr>
        <w:pStyle w:val="Heading3"/>
        <w:keepNext/>
        <w:keepLines/>
      </w:pPr>
      <w:bookmarkStart w:id="4" w:name="_Toc256149256"/>
      <w:r>
        <w:lastRenderedPageBreak/>
        <w:t>Goals of Puget Sound pressures assessment</w:t>
      </w:r>
      <w:bookmarkEnd w:id="4"/>
    </w:p>
    <w:p w14:paraId="4830A925" w14:textId="77777777" w:rsidR="00671814" w:rsidRDefault="00671814" w:rsidP="00A769AE">
      <w:pPr>
        <w:keepNext/>
        <w:keepLines/>
        <w:widowControl/>
        <w:autoSpaceDE/>
        <w:autoSpaceDN/>
        <w:adjustRightInd/>
        <w:spacing w:before="0" w:after="0"/>
        <w:rPr>
          <w:shd w:val="clear" w:color="auto" w:fill="FFFFFF"/>
        </w:rPr>
      </w:pPr>
      <w:r>
        <w:rPr>
          <w:shd w:val="clear" w:color="auto" w:fill="FFFFFF"/>
        </w:rPr>
        <w:t>The proposed pressures assessment approach is designed to meet all of the criteria required for a fundamental, baseline sound-wide pressures assessment:</w:t>
      </w:r>
    </w:p>
    <w:p w14:paraId="0DD5D500" w14:textId="77777777" w:rsidR="00671814" w:rsidRDefault="00671814" w:rsidP="00A769AE">
      <w:pPr>
        <w:keepNext/>
        <w:keepLines/>
        <w:widowControl/>
        <w:autoSpaceDE/>
        <w:autoSpaceDN/>
        <w:adjustRightInd/>
        <w:spacing w:before="0" w:after="0"/>
        <w:rPr>
          <w:shd w:val="clear" w:color="auto" w:fill="FFFFFF"/>
        </w:rPr>
      </w:pPr>
    </w:p>
    <w:p w14:paraId="4FD8DF07" w14:textId="5325F64B" w:rsidR="002A69EA" w:rsidRPr="00C84260" w:rsidRDefault="002A69EA" w:rsidP="00A769AE">
      <w:pPr>
        <w:pStyle w:val="ListParagraph"/>
        <w:keepNext/>
        <w:keepLines/>
        <w:widowControl/>
        <w:numPr>
          <w:ilvl w:val="0"/>
          <w:numId w:val="11"/>
        </w:numPr>
        <w:autoSpaceDE/>
        <w:autoSpaceDN/>
        <w:adjustRightInd/>
        <w:spacing w:before="0" w:after="0"/>
        <w:rPr>
          <w:shd w:val="clear" w:color="auto" w:fill="FFFFFF"/>
        </w:rPr>
      </w:pPr>
      <w:r w:rsidRPr="00C84260">
        <w:rPr>
          <w:shd w:val="clear" w:color="auto" w:fill="FFFFFF"/>
        </w:rPr>
        <w:t xml:space="preserve">Comprehensive consideration of all of the known </w:t>
      </w:r>
      <w:r w:rsidR="00793F19">
        <w:rPr>
          <w:shd w:val="clear" w:color="auto" w:fill="FFFFFF"/>
        </w:rPr>
        <w:t>stressors associated with significant pressure classes</w:t>
      </w:r>
      <w:r>
        <w:rPr>
          <w:shd w:val="clear" w:color="auto" w:fill="FFFFFF"/>
        </w:rPr>
        <w:t>, based on an accepted taxonomy of pressures and stressors;</w:t>
      </w:r>
    </w:p>
    <w:p w14:paraId="4DF0E9E8" w14:textId="77777777" w:rsidR="002A69EA" w:rsidRPr="00C84260" w:rsidRDefault="002A69EA" w:rsidP="00A769AE">
      <w:pPr>
        <w:pStyle w:val="ListParagraph"/>
        <w:keepNext/>
        <w:keepLines/>
        <w:widowControl/>
        <w:numPr>
          <w:ilvl w:val="0"/>
          <w:numId w:val="11"/>
        </w:numPr>
        <w:autoSpaceDE/>
        <w:autoSpaceDN/>
        <w:adjustRightInd/>
        <w:spacing w:before="0" w:after="0"/>
        <w:rPr>
          <w:shd w:val="clear" w:color="auto" w:fill="FFFFFF"/>
        </w:rPr>
      </w:pPr>
      <w:r w:rsidRPr="00C84260">
        <w:rPr>
          <w:shd w:val="clear" w:color="auto" w:fill="FFFFFF"/>
        </w:rPr>
        <w:t>Assessment and evaluation of pressures at appropriate</w:t>
      </w:r>
      <w:r>
        <w:rPr>
          <w:shd w:val="clear" w:color="auto" w:fill="FFFFFF"/>
        </w:rPr>
        <w:t xml:space="preserve"> spatial and temporal</w:t>
      </w:r>
      <w:r w:rsidRPr="00C84260">
        <w:rPr>
          <w:shd w:val="clear" w:color="auto" w:fill="FFFFFF"/>
        </w:rPr>
        <w:t xml:space="preserve"> scales</w:t>
      </w:r>
      <w:r>
        <w:rPr>
          <w:shd w:val="clear" w:color="auto" w:fill="FFFFFF"/>
        </w:rPr>
        <w:t>;</w:t>
      </w:r>
    </w:p>
    <w:p w14:paraId="2E4A455F" w14:textId="77777777" w:rsidR="002A69EA" w:rsidRDefault="002A69EA" w:rsidP="00A769AE">
      <w:pPr>
        <w:pStyle w:val="ListParagraph"/>
        <w:keepNext/>
        <w:keepLines/>
        <w:widowControl/>
        <w:numPr>
          <w:ilvl w:val="0"/>
          <w:numId w:val="11"/>
        </w:numPr>
        <w:autoSpaceDE/>
        <w:autoSpaceDN/>
        <w:adjustRightInd/>
        <w:spacing w:before="0" w:after="0"/>
        <w:rPr>
          <w:shd w:val="clear" w:color="auto" w:fill="FFFFFF"/>
        </w:rPr>
      </w:pPr>
      <w:r w:rsidRPr="00C84260">
        <w:rPr>
          <w:shd w:val="clear" w:color="auto" w:fill="FFFFFF"/>
        </w:rPr>
        <w:t xml:space="preserve">Use of </w:t>
      </w:r>
      <w:r>
        <w:rPr>
          <w:shd w:val="clear" w:color="auto" w:fill="FFFFFF"/>
        </w:rPr>
        <w:t xml:space="preserve">a </w:t>
      </w:r>
      <w:r w:rsidRPr="00C84260">
        <w:rPr>
          <w:shd w:val="clear" w:color="auto" w:fill="FFFFFF"/>
        </w:rPr>
        <w:t>transparent, repeatable, and updatable approach for assessment</w:t>
      </w:r>
      <w:r>
        <w:rPr>
          <w:shd w:val="clear" w:color="auto" w:fill="FFFFFF"/>
        </w:rPr>
        <w:t xml:space="preserve"> that includes:</w:t>
      </w:r>
    </w:p>
    <w:p w14:paraId="72540A0D" w14:textId="77777777" w:rsidR="002A69EA" w:rsidRDefault="002A69EA" w:rsidP="002A69EA">
      <w:pPr>
        <w:pStyle w:val="ListParagraph"/>
        <w:widowControl/>
        <w:numPr>
          <w:ilvl w:val="1"/>
          <w:numId w:val="11"/>
        </w:numPr>
        <w:autoSpaceDE/>
        <w:autoSpaceDN/>
        <w:adjustRightInd/>
        <w:spacing w:before="0" w:after="0"/>
        <w:rPr>
          <w:shd w:val="clear" w:color="auto" w:fill="FFFFFF"/>
        </w:rPr>
      </w:pPr>
      <w:r>
        <w:rPr>
          <w:shd w:val="clear" w:color="auto" w:fill="FFFFFF"/>
        </w:rPr>
        <w:t xml:space="preserve">Robust conceptual models of ecosystem vulnerability and/or resilience to pressures; </w:t>
      </w:r>
    </w:p>
    <w:p w14:paraId="1D128BF0" w14:textId="77777777" w:rsidR="002A69EA" w:rsidRDefault="002A69EA" w:rsidP="002A69EA">
      <w:pPr>
        <w:pStyle w:val="ListParagraph"/>
        <w:widowControl/>
        <w:numPr>
          <w:ilvl w:val="1"/>
          <w:numId w:val="11"/>
        </w:numPr>
        <w:autoSpaceDE/>
        <w:autoSpaceDN/>
        <w:adjustRightInd/>
        <w:spacing w:before="0" w:after="0"/>
        <w:rPr>
          <w:shd w:val="clear" w:color="auto" w:fill="FFFFFF"/>
        </w:rPr>
      </w:pPr>
      <w:r>
        <w:rPr>
          <w:shd w:val="clear" w:color="auto" w:fill="FFFFFF"/>
        </w:rPr>
        <w:t>Robust quantitative evaluation system that supports comparisons, based on the conceptual models;</w:t>
      </w:r>
    </w:p>
    <w:p w14:paraId="6B8F295C" w14:textId="77777777" w:rsidR="002A69EA" w:rsidRPr="005E7BEA" w:rsidRDefault="002A69EA" w:rsidP="002A69EA">
      <w:pPr>
        <w:pStyle w:val="ListParagraph"/>
        <w:widowControl/>
        <w:numPr>
          <w:ilvl w:val="1"/>
          <w:numId w:val="11"/>
        </w:numPr>
        <w:autoSpaceDE/>
        <w:autoSpaceDN/>
        <w:adjustRightInd/>
        <w:spacing w:before="0" w:after="0"/>
        <w:rPr>
          <w:shd w:val="clear" w:color="auto" w:fill="FFFFFF"/>
        </w:rPr>
      </w:pPr>
      <w:r>
        <w:rPr>
          <w:shd w:val="clear" w:color="auto" w:fill="FFFFFF"/>
        </w:rPr>
        <w:t>A</w:t>
      </w:r>
      <w:r w:rsidRPr="005E7BEA">
        <w:rPr>
          <w:shd w:val="clear" w:color="auto" w:fill="FFFFFF"/>
        </w:rPr>
        <w:t xml:space="preserve">ppropriate assessment </w:t>
      </w:r>
      <w:r>
        <w:rPr>
          <w:shd w:val="clear" w:color="auto" w:fill="FFFFFF"/>
        </w:rPr>
        <w:t>endpoints that meet the requirements and expectations of decision-makers, planners, stakeholders, and scientists (Section 3, “Assessment Endpoints”);</w:t>
      </w:r>
    </w:p>
    <w:p w14:paraId="6E32B0F2" w14:textId="77777777" w:rsidR="002A69EA" w:rsidRDefault="002A69EA" w:rsidP="002A69EA">
      <w:pPr>
        <w:pStyle w:val="ListParagraph"/>
        <w:widowControl/>
        <w:numPr>
          <w:ilvl w:val="0"/>
          <w:numId w:val="11"/>
        </w:numPr>
        <w:autoSpaceDE/>
        <w:autoSpaceDN/>
        <w:adjustRightInd/>
        <w:spacing w:before="0" w:after="0"/>
        <w:rPr>
          <w:shd w:val="clear" w:color="auto" w:fill="FFFFFF"/>
        </w:rPr>
      </w:pPr>
      <w:r>
        <w:rPr>
          <w:shd w:val="clear" w:color="auto" w:fill="FFFFFF"/>
        </w:rPr>
        <w:t xml:space="preserve"> Assessing, representing, propagating, and interpreting uncertainty within the assessment;</w:t>
      </w:r>
    </w:p>
    <w:p w14:paraId="29BB1DF0" w14:textId="77777777" w:rsidR="002A69EA" w:rsidRPr="003126C4" w:rsidRDefault="002A69EA" w:rsidP="002A69EA">
      <w:pPr>
        <w:pStyle w:val="ListParagraph"/>
        <w:numPr>
          <w:ilvl w:val="0"/>
          <w:numId w:val="11"/>
        </w:numPr>
      </w:pPr>
      <w:r>
        <w:t>Expert workshops and synthesis of gathered information, with the opportunity for iterative refinement of models, information, and uncertainty assessments, based on expert inputs.</w:t>
      </w:r>
    </w:p>
    <w:p w14:paraId="1EE254B9" w14:textId="77777777" w:rsidR="00671814" w:rsidRDefault="00671814" w:rsidP="00671814">
      <w:pPr>
        <w:widowControl/>
        <w:autoSpaceDE/>
        <w:autoSpaceDN/>
        <w:adjustRightInd/>
        <w:spacing w:before="0" w:after="0"/>
        <w:rPr>
          <w:shd w:val="clear" w:color="auto" w:fill="FFFFFF"/>
        </w:rPr>
      </w:pPr>
      <w:r w:rsidRPr="003126C4">
        <w:rPr>
          <w:shd w:val="clear" w:color="auto" w:fill="FFFFFF"/>
        </w:rPr>
        <w:t>Each of these aspects of ecosystem pressures assessment is described in detail in Section 3, “Proposed pressures assessment approach”.</w:t>
      </w:r>
      <w:r>
        <w:rPr>
          <w:shd w:val="clear" w:color="auto" w:fill="FFFFFF"/>
        </w:rPr>
        <w:t xml:space="preserve">  There are a number of guides to conducting ecological risk assessment and ecosystem pressures assessments, which the above criteria synthesize and incorporate (e.g., Landis and </w:t>
      </w:r>
      <w:proofErr w:type="spellStart"/>
      <w:r>
        <w:t>Wiegers</w:t>
      </w:r>
      <w:proofErr w:type="spellEnd"/>
      <w:r>
        <w:t xml:space="preserve">, 1997; </w:t>
      </w:r>
      <w:r>
        <w:rPr>
          <w:shd w:val="clear" w:color="auto" w:fill="FFFFFF"/>
        </w:rPr>
        <w:t xml:space="preserve">EPA, 1998; Moore, 2001; </w:t>
      </w:r>
      <w:proofErr w:type="spellStart"/>
      <w:r>
        <w:rPr>
          <w:shd w:val="clear" w:color="auto" w:fill="FFFFFF"/>
        </w:rPr>
        <w:t>Suter</w:t>
      </w:r>
      <w:proofErr w:type="spellEnd"/>
      <w:r>
        <w:rPr>
          <w:shd w:val="clear" w:color="auto" w:fill="FFFFFF"/>
        </w:rPr>
        <w:t xml:space="preserve">, 2007; </w:t>
      </w:r>
      <w:proofErr w:type="spellStart"/>
      <w:r>
        <w:rPr>
          <w:shd w:val="clear" w:color="auto" w:fill="FFFFFF"/>
        </w:rPr>
        <w:t>Menzie</w:t>
      </w:r>
      <w:proofErr w:type="spellEnd"/>
      <w:r>
        <w:rPr>
          <w:shd w:val="clear" w:color="auto" w:fill="FFFFFF"/>
        </w:rPr>
        <w:t xml:space="preserve"> et al., 2007).</w:t>
      </w:r>
    </w:p>
    <w:p w14:paraId="6BD91266" w14:textId="1790DCE6" w:rsidR="00671814" w:rsidRDefault="00671814" w:rsidP="00671814">
      <w:r>
        <w:t xml:space="preserve">When implemented, the Puget Sound pressures assessment should support the comparison and ranking of ecosystem stressors across assessment endpoints, within and across </w:t>
      </w:r>
      <w:r w:rsidR="00674ED1">
        <w:t>individual watersheds and marine sub-basins</w:t>
      </w:r>
      <w:r>
        <w:t xml:space="preserve">, and at the scale of Puget Sound.  As described in other applications of the “vulnerability of marine ecosystems” approach (Halpern et al. , 2007; HELCOM, 2010; Halpern et al., 2008; </w:t>
      </w:r>
      <w:proofErr w:type="spellStart"/>
      <w:r>
        <w:t>Teck</w:t>
      </w:r>
      <w:proofErr w:type="spellEnd"/>
      <w:r>
        <w:t xml:space="preserve"> et al., 2010), procedures can be defined for summing scores over stressors, over endpoints, </w:t>
      </w:r>
      <w:r w:rsidR="00531E62">
        <w:t>and</w:t>
      </w:r>
      <w:r>
        <w:t xml:space="preserve"> over assessment units</w:t>
      </w:r>
      <w:r w:rsidR="00531E62">
        <w:t xml:space="preserve"> (e.g., individual watersheds or sub-basins)</w:t>
      </w:r>
      <w:r>
        <w:t xml:space="preserve">, to yield various comparisons between stressors, potentially at multiple scales.  Mapping potential impacts will require additional work beyond the </w:t>
      </w:r>
      <w:r w:rsidR="00BF1D65">
        <w:t>assessment of intrinsic ecosystem vulnerability</w:t>
      </w:r>
      <w:r w:rsidR="0056770F">
        <w:t>, as described later in this section.</w:t>
      </w:r>
      <w:r w:rsidR="00531E62">
        <w:t xml:space="preserve"> </w:t>
      </w:r>
    </w:p>
    <w:p w14:paraId="7930F0AB" w14:textId="5BC7129E" w:rsidR="00677051" w:rsidRDefault="00677051" w:rsidP="008B4A4E">
      <w:pPr>
        <w:pStyle w:val="Heading3"/>
      </w:pPr>
      <w:bookmarkStart w:id="5" w:name="_Toc256149257"/>
      <w:r>
        <w:t xml:space="preserve">Concepts </w:t>
      </w:r>
      <w:r w:rsidR="00FD0308">
        <w:t>and framework</w:t>
      </w:r>
      <w:bookmarkEnd w:id="5"/>
    </w:p>
    <w:p w14:paraId="1B588407" w14:textId="7265AD0F" w:rsidR="00847A75" w:rsidRDefault="00677051" w:rsidP="008B4A4E">
      <w:r>
        <w:t xml:space="preserve">To place this </w:t>
      </w:r>
      <w:r w:rsidR="00B80485">
        <w:t>Puget Sound</w:t>
      </w:r>
      <w:r>
        <w:t xml:space="preserve"> pressures assessment in the </w:t>
      </w:r>
      <w:r w:rsidR="00C7137D">
        <w:t xml:space="preserve">more general </w:t>
      </w:r>
      <w:r>
        <w:t>context of risk assessment, we introduce several important concepts and provide a conceptual model to illustrate the pressures assessment f</w:t>
      </w:r>
      <w:r w:rsidR="00B80485">
        <w:t xml:space="preserve">ramework. In its broadest sense, cutting </w:t>
      </w:r>
      <w:r>
        <w:t>across the many activities that fall under the name, risk assessment refers to “technical support for decision-making under uncertainty” (</w:t>
      </w:r>
      <w:proofErr w:type="spellStart"/>
      <w:r>
        <w:t>Suter</w:t>
      </w:r>
      <w:proofErr w:type="spellEnd"/>
      <w:r>
        <w:t>, 2007).  Typically “risk” is defined to include a notion of the probability of one or more (usually) undesirable event(s) and a measure of the consequences or losses associated with the event(s)</w:t>
      </w:r>
      <w:r w:rsidR="00781163">
        <w:t xml:space="preserve"> (Table 1)</w:t>
      </w:r>
      <w:r>
        <w:t xml:space="preserve">.  Within that basic framework, </w:t>
      </w:r>
      <w:r w:rsidR="002B66A5">
        <w:t>risk assessment can address a range of topics from</w:t>
      </w:r>
      <w:r>
        <w:t xml:space="preserve"> public health and safety considerations to investment portfolios.  Before introducing the regional pressures assessment framework, we begin with the environmental risk assessment framework put forth by the US Environmental Protection Agency</w:t>
      </w:r>
      <w:r w:rsidR="00487EFF">
        <w:t xml:space="preserve"> (USEPA)</w:t>
      </w:r>
      <w:r>
        <w:t xml:space="preserve">, with a focus on </w:t>
      </w:r>
      <w:r w:rsidR="002B66A5">
        <w:t>toxicity to humans</w:t>
      </w:r>
      <w:r>
        <w:t xml:space="preserve"> or other biological </w:t>
      </w:r>
      <w:r>
        <w:lastRenderedPageBreak/>
        <w:t xml:space="preserve">endpoints associated with exposure to </w:t>
      </w:r>
      <w:r w:rsidR="002B66A5">
        <w:t>various chemicals</w:t>
      </w:r>
      <w:r>
        <w:t xml:space="preserve"> (Figure </w:t>
      </w:r>
      <w:r w:rsidR="00296199">
        <w:t>2</w:t>
      </w:r>
      <w:r>
        <w:t xml:space="preserve">).  In chemical risk assessments, the focus is on estimating the magnitude and timing of exposures associated with various pathways and the intrinsic biological effects </w:t>
      </w:r>
      <w:r w:rsidR="00DC1A13">
        <w:t xml:space="preserve">(sensitivity) </w:t>
      </w:r>
      <w:r>
        <w:t xml:space="preserve">associated with exposure to the chemical in question.  Biological effects typically </w:t>
      </w:r>
      <w:r w:rsidR="002B66A5">
        <w:t xml:space="preserve">may include </w:t>
      </w:r>
      <w:r>
        <w:t xml:space="preserve">mortality, chronic physiological impacts, and reproductive </w:t>
      </w:r>
      <w:r w:rsidR="002B66A5">
        <w:t>aberrations or abnormalities</w:t>
      </w:r>
      <w:r>
        <w:t>.  Such risk assessments typical</w:t>
      </w:r>
      <w:r w:rsidR="004F5E56">
        <w:t xml:space="preserve">ly </w:t>
      </w:r>
      <w:r>
        <w:t xml:space="preserve">consider single chemicals </w:t>
      </w:r>
      <w:r w:rsidR="0081329A">
        <w:t xml:space="preserve">or chemical classes </w:t>
      </w:r>
      <w:r>
        <w:t>associated with human activities, e.g., pesticides, herbicides, organic solvents, metals, polychlorinated biphen</w:t>
      </w:r>
      <w:r w:rsidR="00BF303B">
        <w:t xml:space="preserve">yls, </w:t>
      </w:r>
      <w:r w:rsidR="004F5E56">
        <w:t>or</w:t>
      </w:r>
      <w:r w:rsidR="00BF303B">
        <w:t xml:space="preserve"> dioxins. Most often such risk assessments deal</w:t>
      </w:r>
      <w:r>
        <w:t xml:space="preserve"> with only one or a few biological endpoints, e.g., </w:t>
      </w:r>
      <w:r w:rsidR="00BF303B">
        <w:t xml:space="preserve">toxicological responses in </w:t>
      </w:r>
      <w:r>
        <w:t>human beings or other species</w:t>
      </w:r>
      <w:r w:rsidR="0081329A">
        <w:t xml:space="preserve"> to dioxins</w:t>
      </w:r>
      <w:r>
        <w:t>.</w:t>
      </w:r>
    </w:p>
    <w:p w14:paraId="5FAB4175" w14:textId="77777777" w:rsidR="004C48CA" w:rsidRDefault="004C48CA" w:rsidP="008B4A4E"/>
    <w:p w14:paraId="2E8E3D34" w14:textId="77777777" w:rsidR="008B4A4E" w:rsidRPr="00781163" w:rsidRDefault="008B4A4E" w:rsidP="008B4A4E"/>
    <w:p w14:paraId="7912CBD5" w14:textId="266656B6" w:rsidR="000E7FDA" w:rsidRDefault="00781163" w:rsidP="00070285">
      <w:pPr>
        <w:keepNext/>
        <w:keepLines/>
        <w:widowControl/>
        <w:autoSpaceDE/>
        <w:autoSpaceDN/>
        <w:adjustRightInd/>
        <w:spacing w:before="0" w:after="0"/>
        <w:rPr>
          <w:shd w:val="clear" w:color="auto" w:fill="FFFFFF"/>
        </w:rPr>
      </w:pPr>
      <w:r>
        <w:rPr>
          <w:shd w:val="clear" w:color="auto" w:fill="FFFFFF"/>
        </w:rPr>
        <w:t xml:space="preserve">Table 1.  </w:t>
      </w:r>
      <w:proofErr w:type="gramStart"/>
      <w:r w:rsidR="00DA38A8">
        <w:rPr>
          <w:shd w:val="clear" w:color="auto" w:fill="FFFFFF"/>
        </w:rPr>
        <w:t>Typical d</w:t>
      </w:r>
      <w:r w:rsidR="004050E8">
        <w:rPr>
          <w:shd w:val="clear" w:color="auto" w:fill="FFFFFF"/>
        </w:rPr>
        <w:t>efinitions of relevant concepts (</w:t>
      </w:r>
      <w:proofErr w:type="spellStart"/>
      <w:r w:rsidR="004050E8">
        <w:rPr>
          <w:shd w:val="clear" w:color="auto" w:fill="FFFFFF"/>
        </w:rPr>
        <w:t>Suter</w:t>
      </w:r>
      <w:proofErr w:type="spellEnd"/>
      <w:r w:rsidR="004050E8">
        <w:rPr>
          <w:shd w:val="clear" w:color="auto" w:fill="FFFFFF"/>
        </w:rPr>
        <w:t xml:space="preserve"> et al., 2007; </w:t>
      </w:r>
      <w:r w:rsidR="000E7FDA">
        <w:rPr>
          <w:shd w:val="clear" w:color="auto" w:fill="FFFFFF"/>
        </w:rPr>
        <w:t>De Lange et al. 2010</w:t>
      </w:r>
      <w:r w:rsidR="004050E8">
        <w:rPr>
          <w:shd w:val="clear" w:color="auto" w:fill="FFFFFF"/>
        </w:rPr>
        <w:t>)</w:t>
      </w:r>
      <w:r w:rsidR="000E7FDA">
        <w:rPr>
          <w:shd w:val="clear" w:color="auto" w:fill="FFFFFF"/>
        </w:rPr>
        <w:t>.</w:t>
      </w:r>
      <w:proofErr w:type="gramEnd"/>
    </w:p>
    <w:tbl>
      <w:tblPr>
        <w:tblStyle w:val="TableGrid"/>
        <w:tblW w:w="0" w:type="auto"/>
        <w:tblLook w:val="04A0" w:firstRow="1" w:lastRow="0" w:firstColumn="1" w:lastColumn="0" w:noHBand="0" w:noVBand="1"/>
      </w:tblPr>
      <w:tblGrid>
        <w:gridCol w:w="2358"/>
        <w:gridCol w:w="7218"/>
      </w:tblGrid>
      <w:tr w:rsidR="000E7FDA" w:rsidRPr="007C64B4" w14:paraId="2707DA1A" w14:textId="77777777" w:rsidTr="00BD286C">
        <w:tc>
          <w:tcPr>
            <w:tcW w:w="2358" w:type="dxa"/>
          </w:tcPr>
          <w:p w14:paraId="0DB8AEF0" w14:textId="77777777" w:rsidR="000E7FDA" w:rsidRPr="007C64B4" w:rsidRDefault="000E7FDA" w:rsidP="00070285">
            <w:pPr>
              <w:keepNext/>
              <w:keepLines/>
              <w:widowControl/>
              <w:autoSpaceDE/>
              <w:autoSpaceDN/>
              <w:adjustRightInd/>
              <w:spacing w:before="0" w:after="0"/>
              <w:rPr>
                <w:rStyle w:val="Emphasis"/>
                <w:b/>
              </w:rPr>
            </w:pPr>
            <w:r w:rsidRPr="007C64B4">
              <w:rPr>
                <w:rStyle w:val="Emphasis"/>
                <w:b/>
              </w:rPr>
              <w:t>Term</w:t>
            </w:r>
          </w:p>
        </w:tc>
        <w:tc>
          <w:tcPr>
            <w:tcW w:w="7218" w:type="dxa"/>
          </w:tcPr>
          <w:p w14:paraId="011BEAB5" w14:textId="28B520F4" w:rsidR="000E7FDA" w:rsidRPr="007C64B4" w:rsidRDefault="000E7FDA" w:rsidP="00070285">
            <w:pPr>
              <w:keepNext/>
              <w:keepLines/>
              <w:widowControl/>
              <w:autoSpaceDE/>
              <w:autoSpaceDN/>
              <w:adjustRightInd/>
              <w:spacing w:before="0" w:after="0"/>
              <w:rPr>
                <w:rStyle w:val="Emphasis"/>
                <w:b/>
              </w:rPr>
            </w:pPr>
            <w:r w:rsidRPr="007C64B4">
              <w:rPr>
                <w:rStyle w:val="Emphasis"/>
                <w:b/>
              </w:rPr>
              <w:t>Definition within this assessment method</w:t>
            </w:r>
          </w:p>
        </w:tc>
      </w:tr>
      <w:tr w:rsidR="00BD286C" w:rsidRPr="007C64B4" w14:paraId="15358F51" w14:textId="77777777" w:rsidTr="00BD286C">
        <w:tc>
          <w:tcPr>
            <w:tcW w:w="2358" w:type="dxa"/>
          </w:tcPr>
          <w:p w14:paraId="4E843D41" w14:textId="2FD525E0" w:rsidR="00BD286C" w:rsidRPr="007C64B4" w:rsidRDefault="00BD286C" w:rsidP="00070285">
            <w:pPr>
              <w:keepNext/>
              <w:keepLines/>
              <w:widowControl/>
              <w:autoSpaceDE/>
              <w:autoSpaceDN/>
              <w:adjustRightInd/>
              <w:spacing w:before="0" w:after="0"/>
              <w:rPr>
                <w:sz w:val="20"/>
                <w:shd w:val="clear" w:color="auto" w:fill="FFFFFF"/>
              </w:rPr>
            </w:pPr>
            <w:r w:rsidRPr="00BD286C">
              <w:rPr>
                <w:rFonts w:ascii="Calibri" w:hAnsi="Calibri"/>
              </w:rPr>
              <w:t>Exposure</w:t>
            </w:r>
          </w:p>
        </w:tc>
        <w:tc>
          <w:tcPr>
            <w:tcW w:w="7218" w:type="dxa"/>
          </w:tcPr>
          <w:p w14:paraId="422EB72A" w14:textId="4A111EDE" w:rsidR="00BD286C" w:rsidRPr="007C64B4" w:rsidRDefault="00BD286C" w:rsidP="00070285">
            <w:pPr>
              <w:keepNext/>
              <w:keepLines/>
              <w:widowControl/>
              <w:autoSpaceDE/>
              <w:autoSpaceDN/>
              <w:adjustRightInd/>
              <w:spacing w:before="0" w:after="0"/>
              <w:rPr>
                <w:sz w:val="20"/>
                <w:shd w:val="clear" w:color="auto" w:fill="FFFFFF"/>
              </w:rPr>
            </w:pPr>
            <w:r w:rsidRPr="00BD286C">
              <w:rPr>
                <w:rFonts w:ascii="Calibri" w:hAnsi="Calibri"/>
              </w:rPr>
              <w:t>Contact of an organism with a chemical, radiological, or physical agent. Exposure is quantified as the amount of the agent available at the exchange boundaries of the organism (e.g.; skin, lungs, gut) and available for absorption.</w:t>
            </w:r>
            <w:r w:rsidR="00DA38A8">
              <w:rPr>
                <w:rFonts w:ascii="Calibri" w:hAnsi="Calibri"/>
              </w:rPr>
              <w:t xml:space="preserve">  Effects to organisms can be direct (toxicity) or indirect (habitat changes).</w:t>
            </w:r>
          </w:p>
        </w:tc>
      </w:tr>
      <w:tr w:rsidR="00BD286C" w:rsidRPr="007C64B4" w14:paraId="65DF6754" w14:textId="77777777" w:rsidTr="00BD286C">
        <w:tc>
          <w:tcPr>
            <w:tcW w:w="2358" w:type="dxa"/>
          </w:tcPr>
          <w:p w14:paraId="50A06FDE" w14:textId="645F7413" w:rsidR="00BD286C" w:rsidRPr="007C64B4" w:rsidRDefault="00BD286C" w:rsidP="00070285">
            <w:pPr>
              <w:keepNext/>
              <w:keepLines/>
              <w:widowControl/>
              <w:autoSpaceDE/>
              <w:autoSpaceDN/>
              <w:adjustRightInd/>
              <w:spacing w:before="0" w:after="0"/>
              <w:rPr>
                <w:sz w:val="20"/>
                <w:shd w:val="clear" w:color="auto" w:fill="FFFFFF"/>
              </w:rPr>
            </w:pPr>
            <w:r w:rsidRPr="00BD286C">
              <w:rPr>
                <w:rFonts w:ascii="Calibri" w:hAnsi="Calibri"/>
              </w:rPr>
              <w:t>Hazard</w:t>
            </w:r>
          </w:p>
        </w:tc>
        <w:tc>
          <w:tcPr>
            <w:tcW w:w="7218" w:type="dxa"/>
          </w:tcPr>
          <w:p w14:paraId="35F07C5A" w14:textId="5243BB81" w:rsidR="00BD286C" w:rsidRPr="007C64B4" w:rsidRDefault="00BD286C" w:rsidP="004C0C29">
            <w:pPr>
              <w:keepNext/>
              <w:keepLines/>
              <w:widowControl/>
              <w:autoSpaceDE/>
              <w:autoSpaceDN/>
              <w:adjustRightInd/>
              <w:spacing w:before="0" w:after="0"/>
              <w:rPr>
                <w:sz w:val="20"/>
                <w:shd w:val="clear" w:color="auto" w:fill="FFFFFF"/>
              </w:rPr>
            </w:pPr>
            <w:r w:rsidRPr="00BD286C">
              <w:rPr>
                <w:rFonts w:ascii="Calibri" w:hAnsi="Calibri"/>
              </w:rPr>
              <w:t xml:space="preserve">A threatening event, or a </w:t>
            </w:r>
            <w:r w:rsidRPr="004C0C29">
              <w:rPr>
                <w:rFonts w:ascii="Calibri" w:hAnsi="Calibri"/>
                <w:i/>
              </w:rPr>
              <w:t>potentially</w:t>
            </w:r>
            <w:r w:rsidRPr="00BD286C">
              <w:rPr>
                <w:rFonts w:ascii="Calibri" w:hAnsi="Calibri"/>
              </w:rPr>
              <w:t xml:space="preserve"> damaging phenomenon</w:t>
            </w:r>
            <w:r w:rsidR="004C0C29">
              <w:rPr>
                <w:rFonts w:ascii="Calibri" w:hAnsi="Calibri"/>
              </w:rPr>
              <w:t>,</w:t>
            </w:r>
            <w:r w:rsidRPr="00BD286C">
              <w:rPr>
                <w:rFonts w:ascii="Calibri" w:hAnsi="Calibri"/>
              </w:rPr>
              <w:t xml:space="preserve"> within a given time period and area.</w:t>
            </w:r>
          </w:p>
        </w:tc>
      </w:tr>
      <w:tr w:rsidR="00BD286C" w:rsidRPr="007C64B4" w14:paraId="1AFDC25D" w14:textId="77777777" w:rsidTr="00BD286C">
        <w:tc>
          <w:tcPr>
            <w:tcW w:w="2358" w:type="dxa"/>
          </w:tcPr>
          <w:p w14:paraId="0A97EFC8" w14:textId="1D3D0AE1" w:rsidR="00BD286C" w:rsidRPr="007C64B4" w:rsidRDefault="00BD286C" w:rsidP="00070285">
            <w:pPr>
              <w:keepNext/>
              <w:keepLines/>
              <w:widowControl/>
              <w:autoSpaceDE/>
              <w:autoSpaceDN/>
              <w:adjustRightInd/>
              <w:spacing w:before="0" w:after="0"/>
              <w:rPr>
                <w:sz w:val="20"/>
                <w:shd w:val="clear" w:color="auto" w:fill="FFFFFF"/>
              </w:rPr>
            </w:pPr>
            <w:r w:rsidRPr="00BD286C">
              <w:rPr>
                <w:rFonts w:ascii="Calibri" w:hAnsi="Calibri"/>
              </w:rPr>
              <w:t xml:space="preserve">Risk </w:t>
            </w:r>
          </w:p>
        </w:tc>
        <w:tc>
          <w:tcPr>
            <w:tcW w:w="7218" w:type="dxa"/>
          </w:tcPr>
          <w:p w14:paraId="01D672C6" w14:textId="361FB598" w:rsidR="00BD286C" w:rsidRPr="007C64B4" w:rsidRDefault="00BD286C" w:rsidP="005B0DC7">
            <w:pPr>
              <w:keepNext/>
              <w:keepLines/>
              <w:widowControl/>
              <w:autoSpaceDE/>
              <w:autoSpaceDN/>
              <w:adjustRightInd/>
              <w:spacing w:before="0" w:after="0"/>
              <w:rPr>
                <w:sz w:val="20"/>
                <w:shd w:val="clear" w:color="auto" w:fill="FFFFFF"/>
              </w:rPr>
            </w:pPr>
            <w:r w:rsidRPr="00BD286C">
              <w:rPr>
                <w:rFonts w:ascii="Calibri" w:hAnsi="Calibri"/>
              </w:rPr>
              <w:t xml:space="preserve">Expected losses due to </w:t>
            </w:r>
            <w:r w:rsidR="005B0DC7">
              <w:rPr>
                <w:rFonts w:ascii="Calibri" w:hAnsi="Calibri"/>
              </w:rPr>
              <w:t>the potential (uncertain) occurrence of a</w:t>
            </w:r>
            <w:r w:rsidRPr="00BD286C">
              <w:rPr>
                <w:rFonts w:ascii="Calibri" w:hAnsi="Calibri"/>
              </w:rPr>
              <w:t xml:space="preserve"> particular hazard for a given area and reference period. Based on mathematical calculations, risk is the </w:t>
            </w:r>
            <w:r w:rsidR="00DA38A8">
              <w:rPr>
                <w:rFonts w:ascii="Calibri" w:hAnsi="Calibri"/>
              </w:rPr>
              <w:t xml:space="preserve">interaction </w:t>
            </w:r>
            <w:r w:rsidRPr="00BD286C">
              <w:rPr>
                <w:rFonts w:ascii="Calibri" w:hAnsi="Calibri"/>
              </w:rPr>
              <w:t xml:space="preserve">of </w:t>
            </w:r>
            <w:r w:rsidR="005B0DC7">
              <w:rPr>
                <w:rFonts w:ascii="Calibri" w:hAnsi="Calibri"/>
              </w:rPr>
              <w:t xml:space="preserve">the probability of a </w:t>
            </w:r>
            <w:r w:rsidRPr="00BD286C">
              <w:rPr>
                <w:rFonts w:ascii="Calibri" w:hAnsi="Calibri"/>
              </w:rPr>
              <w:t xml:space="preserve">hazard </w:t>
            </w:r>
            <w:r w:rsidR="005B0DC7">
              <w:rPr>
                <w:rFonts w:ascii="Calibri" w:hAnsi="Calibri"/>
              </w:rPr>
              <w:t xml:space="preserve">occurring </w:t>
            </w:r>
            <w:r w:rsidRPr="00BD286C">
              <w:rPr>
                <w:rFonts w:ascii="Calibri" w:hAnsi="Calibri"/>
              </w:rPr>
              <w:t xml:space="preserve">and </w:t>
            </w:r>
            <w:r w:rsidR="005B0DC7">
              <w:rPr>
                <w:rFonts w:ascii="Calibri" w:hAnsi="Calibri"/>
              </w:rPr>
              <w:t xml:space="preserve">the </w:t>
            </w:r>
            <w:r w:rsidRPr="00BD286C">
              <w:rPr>
                <w:rFonts w:ascii="Calibri" w:hAnsi="Calibri"/>
              </w:rPr>
              <w:t>vulnerability</w:t>
            </w:r>
            <w:r w:rsidR="005B0DC7">
              <w:rPr>
                <w:rFonts w:ascii="Calibri" w:hAnsi="Calibri"/>
              </w:rPr>
              <w:t>, which may also be uncertain</w:t>
            </w:r>
            <w:r w:rsidRPr="00BD286C">
              <w:rPr>
                <w:rFonts w:ascii="Calibri" w:hAnsi="Calibri"/>
              </w:rPr>
              <w:t>.</w:t>
            </w:r>
          </w:p>
        </w:tc>
      </w:tr>
      <w:tr w:rsidR="00BD286C" w:rsidRPr="007C64B4" w14:paraId="13A5171F" w14:textId="77777777" w:rsidTr="00BD286C">
        <w:tc>
          <w:tcPr>
            <w:tcW w:w="2358" w:type="dxa"/>
          </w:tcPr>
          <w:p w14:paraId="7346E1B3" w14:textId="77777777" w:rsidR="00BD286C" w:rsidRPr="007C64B4" w:rsidRDefault="00BD286C" w:rsidP="00070285">
            <w:pPr>
              <w:keepNext/>
              <w:keepLines/>
              <w:widowControl/>
              <w:autoSpaceDE/>
              <w:autoSpaceDN/>
              <w:adjustRightInd/>
              <w:spacing w:before="0" w:after="0"/>
              <w:rPr>
                <w:sz w:val="20"/>
                <w:shd w:val="clear" w:color="auto" w:fill="FFFFFF"/>
              </w:rPr>
            </w:pPr>
            <w:r w:rsidRPr="007C64B4">
              <w:rPr>
                <w:sz w:val="20"/>
                <w:shd w:val="clear" w:color="auto" w:fill="FFFFFF"/>
              </w:rPr>
              <w:t>Vulnerability</w:t>
            </w:r>
          </w:p>
        </w:tc>
        <w:tc>
          <w:tcPr>
            <w:tcW w:w="7218" w:type="dxa"/>
          </w:tcPr>
          <w:p w14:paraId="014D7599" w14:textId="58A1EC0D" w:rsidR="00BD286C" w:rsidRPr="007C64B4" w:rsidRDefault="00BD286C" w:rsidP="00DA38A8">
            <w:pPr>
              <w:keepNext/>
              <w:keepLines/>
              <w:widowControl/>
              <w:autoSpaceDE/>
              <w:autoSpaceDN/>
              <w:adjustRightInd/>
              <w:spacing w:before="0" w:after="0"/>
              <w:rPr>
                <w:sz w:val="20"/>
                <w:shd w:val="clear" w:color="auto" w:fill="FFFFFF"/>
              </w:rPr>
            </w:pPr>
            <w:r w:rsidRPr="007C64B4">
              <w:rPr>
                <w:sz w:val="20"/>
                <w:shd w:val="clear" w:color="auto" w:fill="FFFFFF"/>
              </w:rPr>
              <w:t>The degree to which a system is suscepti</w:t>
            </w:r>
            <w:r>
              <w:rPr>
                <w:sz w:val="20"/>
                <w:shd w:val="clear" w:color="auto" w:fill="FFFFFF"/>
              </w:rPr>
              <w:t>ble to, and unable to accommodate</w:t>
            </w:r>
            <w:r w:rsidRPr="007C64B4">
              <w:rPr>
                <w:sz w:val="20"/>
                <w:shd w:val="clear" w:color="auto" w:fill="FFFFFF"/>
              </w:rPr>
              <w:t xml:space="preserve"> </w:t>
            </w:r>
            <w:r w:rsidR="00DA38A8">
              <w:rPr>
                <w:sz w:val="20"/>
                <w:shd w:val="clear" w:color="auto" w:fill="FFFFFF"/>
              </w:rPr>
              <w:t>disturbance or other forms of change.</w:t>
            </w:r>
          </w:p>
        </w:tc>
      </w:tr>
      <w:tr w:rsidR="00BD286C" w:rsidRPr="007C64B4" w14:paraId="21931C7A" w14:textId="77777777" w:rsidTr="00BD286C">
        <w:tc>
          <w:tcPr>
            <w:tcW w:w="2358" w:type="dxa"/>
          </w:tcPr>
          <w:p w14:paraId="3F74BE01" w14:textId="77777777" w:rsidR="00BD286C" w:rsidRPr="007C64B4" w:rsidRDefault="00BD286C" w:rsidP="00070285">
            <w:pPr>
              <w:keepNext/>
              <w:keepLines/>
              <w:widowControl/>
              <w:autoSpaceDE/>
              <w:autoSpaceDN/>
              <w:adjustRightInd/>
              <w:spacing w:before="0" w:after="0"/>
              <w:rPr>
                <w:sz w:val="20"/>
                <w:shd w:val="clear" w:color="auto" w:fill="FFFFFF"/>
              </w:rPr>
            </w:pPr>
            <w:r w:rsidRPr="007C64B4">
              <w:rPr>
                <w:sz w:val="20"/>
                <w:shd w:val="clear" w:color="auto" w:fill="FFFFFF"/>
              </w:rPr>
              <w:t>Ecosystem vulnerability</w:t>
            </w:r>
          </w:p>
        </w:tc>
        <w:tc>
          <w:tcPr>
            <w:tcW w:w="7218" w:type="dxa"/>
          </w:tcPr>
          <w:p w14:paraId="7CAA051D" w14:textId="1E130D65" w:rsidR="00BD286C" w:rsidRPr="007C64B4" w:rsidRDefault="00BD286C" w:rsidP="00CC2DB8">
            <w:pPr>
              <w:keepNext/>
              <w:keepLines/>
              <w:widowControl/>
              <w:autoSpaceDE/>
              <w:autoSpaceDN/>
              <w:adjustRightInd/>
              <w:spacing w:before="0" w:after="0"/>
              <w:rPr>
                <w:sz w:val="20"/>
                <w:shd w:val="clear" w:color="auto" w:fill="FFFFFF"/>
              </w:rPr>
            </w:pPr>
            <w:r w:rsidRPr="007C64B4">
              <w:rPr>
                <w:sz w:val="20"/>
                <w:shd w:val="clear" w:color="auto" w:fill="FFFFFF"/>
              </w:rPr>
              <w:t>The potential of an ecosystem to modulate its response to stressors over time and space, where that potential is determined by</w:t>
            </w:r>
            <w:r w:rsidR="00CC2DB8">
              <w:rPr>
                <w:sz w:val="20"/>
                <w:shd w:val="clear" w:color="auto" w:fill="FFFFFF"/>
              </w:rPr>
              <w:t xml:space="preserve"> ecosystem</w:t>
            </w:r>
            <w:r w:rsidRPr="007C64B4">
              <w:rPr>
                <w:sz w:val="20"/>
                <w:shd w:val="clear" w:color="auto" w:fill="FFFFFF"/>
              </w:rPr>
              <w:t xml:space="preserve"> characteristics that </w:t>
            </w:r>
            <w:r w:rsidR="00CC2DB8">
              <w:rPr>
                <w:sz w:val="20"/>
                <w:shd w:val="clear" w:color="auto" w:fill="FFFFFF"/>
              </w:rPr>
              <w:t xml:space="preserve">may </w:t>
            </w:r>
            <w:r w:rsidRPr="007C64B4">
              <w:rPr>
                <w:sz w:val="20"/>
                <w:shd w:val="clear" w:color="auto" w:fill="FFFFFF"/>
              </w:rPr>
              <w:t>include many levels of organization</w:t>
            </w:r>
            <w:r w:rsidR="00CC2DB8">
              <w:rPr>
                <w:sz w:val="20"/>
                <w:shd w:val="clear" w:color="auto" w:fill="FFFFFF"/>
              </w:rPr>
              <w:t>.  A high vulnerability reflects</w:t>
            </w:r>
            <w:r>
              <w:rPr>
                <w:sz w:val="20"/>
                <w:shd w:val="clear" w:color="auto" w:fill="FFFFFF"/>
              </w:rPr>
              <w:t xml:space="preserve"> the relative inability of the</w:t>
            </w:r>
            <w:r w:rsidRPr="007C64B4">
              <w:rPr>
                <w:sz w:val="20"/>
                <w:shd w:val="clear" w:color="auto" w:fill="FFFFFF"/>
              </w:rPr>
              <w:t xml:space="preserve"> ecosystem to tolerate </w:t>
            </w:r>
            <w:r>
              <w:rPr>
                <w:sz w:val="20"/>
                <w:shd w:val="clear" w:color="auto" w:fill="FFFFFF"/>
              </w:rPr>
              <w:t>str</w:t>
            </w:r>
            <w:r w:rsidR="00CC2DB8">
              <w:rPr>
                <w:sz w:val="20"/>
                <w:shd w:val="clear" w:color="auto" w:fill="FFFFFF"/>
              </w:rPr>
              <w:t xml:space="preserve">essors over time and space.  Ecosystem responses </w:t>
            </w:r>
            <w:r>
              <w:rPr>
                <w:sz w:val="20"/>
                <w:shd w:val="clear" w:color="auto" w:fill="FFFFFF"/>
              </w:rPr>
              <w:t xml:space="preserve">may include </w:t>
            </w:r>
            <w:r w:rsidRPr="007C64B4">
              <w:rPr>
                <w:sz w:val="20"/>
                <w:shd w:val="clear" w:color="auto" w:fill="FFFFFF"/>
              </w:rPr>
              <w:t xml:space="preserve">a combination of </w:t>
            </w:r>
            <w:r w:rsidR="00CC2DB8">
              <w:rPr>
                <w:sz w:val="20"/>
                <w:shd w:val="clear" w:color="auto" w:fill="FFFFFF"/>
              </w:rPr>
              <w:t xml:space="preserve">species, </w:t>
            </w:r>
            <w:r w:rsidRPr="007C64B4">
              <w:rPr>
                <w:sz w:val="20"/>
                <w:shd w:val="clear" w:color="auto" w:fill="FFFFFF"/>
              </w:rPr>
              <w:t>community</w:t>
            </w:r>
            <w:r w:rsidR="00CC2DB8">
              <w:rPr>
                <w:sz w:val="20"/>
                <w:shd w:val="clear" w:color="auto" w:fill="FFFFFF"/>
              </w:rPr>
              <w:t>, and habitat-related changes.</w:t>
            </w:r>
          </w:p>
        </w:tc>
      </w:tr>
      <w:tr w:rsidR="00BD286C" w:rsidRPr="007C64B4" w14:paraId="782F84C2" w14:textId="77777777" w:rsidTr="00BD286C">
        <w:tc>
          <w:tcPr>
            <w:tcW w:w="2358" w:type="dxa"/>
          </w:tcPr>
          <w:p w14:paraId="23B8403A" w14:textId="6EFB6F63" w:rsidR="00BD286C" w:rsidRPr="007C64B4" w:rsidRDefault="00BD286C" w:rsidP="00070285">
            <w:pPr>
              <w:keepNext/>
              <w:keepLines/>
              <w:widowControl/>
              <w:autoSpaceDE/>
              <w:autoSpaceDN/>
              <w:adjustRightInd/>
              <w:spacing w:before="0" w:after="0"/>
              <w:rPr>
                <w:sz w:val="20"/>
                <w:shd w:val="clear" w:color="auto" w:fill="FFFFFF"/>
              </w:rPr>
            </w:pPr>
            <w:r>
              <w:rPr>
                <w:sz w:val="20"/>
                <w:shd w:val="clear" w:color="auto" w:fill="FFFFFF"/>
              </w:rPr>
              <w:t>Ecosystem r</w:t>
            </w:r>
            <w:r w:rsidRPr="007C64B4">
              <w:rPr>
                <w:sz w:val="20"/>
                <w:shd w:val="clear" w:color="auto" w:fill="FFFFFF"/>
              </w:rPr>
              <w:t>esilience</w:t>
            </w:r>
          </w:p>
        </w:tc>
        <w:tc>
          <w:tcPr>
            <w:tcW w:w="7218" w:type="dxa"/>
          </w:tcPr>
          <w:p w14:paraId="71AC4066" w14:textId="4F425280" w:rsidR="00BD286C" w:rsidRPr="007C64B4" w:rsidRDefault="00BD286C" w:rsidP="00070285">
            <w:pPr>
              <w:keepNext/>
              <w:keepLines/>
              <w:widowControl/>
              <w:autoSpaceDE/>
              <w:autoSpaceDN/>
              <w:adjustRightInd/>
              <w:spacing w:before="0" w:after="0"/>
              <w:rPr>
                <w:sz w:val="20"/>
                <w:shd w:val="clear" w:color="auto" w:fill="FFFFFF"/>
              </w:rPr>
            </w:pPr>
            <w:r>
              <w:rPr>
                <w:sz w:val="20"/>
                <w:shd w:val="clear" w:color="auto" w:fill="FFFFFF"/>
              </w:rPr>
              <w:t>Ecosystem</w:t>
            </w:r>
            <w:r w:rsidRPr="007C64B4">
              <w:rPr>
                <w:sz w:val="20"/>
                <w:shd w:val="clear" w:color="auto" w:fill="FFFFFF"/>
              </w:rPr>
              <w:t xml:space="preserve"> resilience can be defined </w:t>
            </w:r>
            <w:r>
              <w:rPr>
                <w:sz w:val="20"/>
                <w:shd w:val="clear" w:color="auto" w:fill="FFFFFF"/>
              </w:rPr>
              <w:t>as</w:t>
            </w:r>
            <w:r w:rsidRPr="007C64B4">
              <w:rPr>
                <w:sz w:val="20"/>
                <w:shd w:val="clear" w:color="auto" w:fill="FFFFFF"/>
              </w:rPr>
              <w:t xml:space="preserve"> a measure of the magnitude of disturbance that can be absorbed bef</w:t>
            </w:r>
            <w:r>
              <w:rPr>
                <w:sz w:val="20"/>
                <w:shd w:val="clear" w:color="auto" w:fill="FFFFFF"/>
              </w:rPr>
              <w:t xml:space="preserve">ore the ecosystem changes its regime </w:t>
            </w:r>
            <w:r w:rsidRPr="007C64B4">
              <w:rPr>
                <w:sz w:val="20"/>
                <w:shd w:val="clear" w:color="auto" w:fill="FFFFFF"/>
              </w:rPr>
              <w:t xml:space="preserve">by changing the </w:t>
            </w:r>
            <w:r w:rsidR="00C7137D">
              <w:rPr>
                <w:sz w:val="20"/>
                <w:shd w:val="clear" w:color="auto" w:fill="FFFFFF"/>
              </w:rPr>
              <w:t xml:space="preserve">state </w:t>
            </w:r>
            <w:r w:rsidRPr="007C64B4">
              <w:rPr>
                <w:sz w:val="20"/>
                <w:shd w:val="clear" w:color="auto" w:fill="FFFFFF"/>
              </w:rPr>
              <w:t>variables and</w:t>
            </w:r>
            <w:r>
              <w:rPr>
                <w:sz w:val="20"/>
                <w:shd w:val="clear" w:color="auto" w:fill="FFFFFF"/>
              </w:rPr>
              <w:t xml:space="preserve"> processes that control behavio</w:t>
            </w:r>
            <w:r w:rsidRPr="007C64B4">
              <w:rPr>
                <w:sz w:val="20"/>
                <w:shd w:val="clear" w:color="auto" w:fill="FFFFFF"/>
              </w:rPr>
              <w:t>r</w:t>
            </w:r>
            <w:r>
              <w:rPr>
                <w:sz w:val="20"/>
                <w:shd w:val="clear" w:color="auto" w:fill="FFFFFF"/>
              </w:rPr>
              <w:t>al ranges</w:t>
            </w:r>
            <w:r w:rsidR="00C7137D">
              <w:rPr>
                <w:sz w:val="20"/>
                <w:shd w:val="clear" w:color="auto" w:fill="FFFFFF"/>
              </w:rPr>
              <w:t xml:space="preserve"> and dynamics</w:t>
            </w:r>
            <w:r>
              <w:rPr>
                <w:sz w:val="20"/>
                <w:shd w:val="clear" w:color="auto" w:fill="FFFFFF"/>
              </w:rPr>
              <w:t>.</w:t>
            </w:r>
          </w:p>
        </w:tc>
      </w:tr>
    </w:tbl>
    <w:p w14:paraId="00CC12D1" w14:textId="77777777" w:rsidR="000E7FDA" w:rsidRDefault="000E7FDA" w:rsidP="000E7FDA">
      <w:pPr>
        <w:widowControl/>
        <w:autoSpaceDE/>
        <w:autoSpaceDN/>
        <w:adjustRightInd/>
        <w:spacing w:before="0" w:after="0"/>
        <w:rPr>
          <w:shd w:val="clear" w:color="auto" w:fill="FFFFFF"/>
        </w:rPr>
      </w:pPr>
    </w:p>
    <w:p w14:paraId="1AEE066B" w14:textId="778E6629" w:rsidR="00781163" w:rsidRDefault="00781163" w:rsidP="00781163"/>
    <w:p w14:paraId="3879053F" w14:textId="79C96F47" w:rsidR="00781163" w:rsidRDefault="00781163" w:rsidP="00781163"/>
    <w:p w14:paraId="15CB1B94" w14:textId="77777777" w:rsidR="00781163" w:rsidRDefault="00781163" w:rsidP="00781163"/>
    <w:p w14:paraId="2BEDC081" w14:textId="77777777" w:rsidR="00781163" w:rsidRDefault="00781163" w:rsidP="00781163"/>
    <w:p w14:paraId="5AFED021" w14:textId="77777777" w:rsidR="00781163" w:rsidRDefault="00781163" w:rsidP="00781163"/>
    <w:p w14:paraId="7C8375D3" w14:textId="0DC1DBFD" w:rsidR="00781163" w:rsidRDefault="00781163" w:rsidP="00781163"/>
    <w:p w14:paraId="5A4C18CF" w14:textId="77777777" w:rsidR="00781163" w:rsidRDefault="00781163" w:rsidP="00781163"/>
    <w:p w14:paraId="17F3DCE5" w14:textId="3CF948EE" w:rsidR="008B4A4E" w:rsidRDefault="008B4A4E" w:rsidP="008B4A4E">
      <w:pPr>
        <w:keepNext/>
        <w:keepLines/>
        <w:widowControl/>
        <w:rPr>
          <w:shd w:val="clear" w:color="auto" w:fill="FFFFFF"/>
        </w:rPr>
      </w:pPr>
      <w:r>
        <w:t>For site-specific ecological risk assessments, a characterization of the threatened biological community (e.g., structure, function, sensitivity, vulnerability, and economic value) is required. Site-specific ecological risk assessments may include probabilistic methods in which the likelihood of exposure and effects are considered, combined with other lines of evidence such as knowledge about the ecolog</w:t>
      </w:r>
      <w:r w:rsidR="00ED2674">
        <w:t>ical functions</w:t>
      </w:r>
      <w:r>
        <w:t xml:space="preserve"> of sensitive or keystone species (De Lange, 2010).  </w:t>
      </w:r>
      <w:r>
        <w:rPr>
          <w:shd w:val="clear" w:color="auto" w:fill="FFFFFF"/>
        </w:rPr>
        <w:t>T</w:t>
      </w:r>
      <w:r w:rsidRPr="00BF303B">
        <w:rPr>
          <w:shd w:val="clear" w:color="auto" w:fill="FFFFFF"/>
        </w:rPr>
        <w:t>he description of t</w:t>
      </w:r>
      <w:r>
        <w:rPr>
          <w:shd w:val="clear" w:color="auto" w:fill="FFFFFF"/>
        </w:rPr>
        <w:t xml:space="preserve">he biological systems at risk, beyond a simple notion of “potential individual response”, becomes a </w:t>
      </w:r>
      <w:r w:rsidRPr="00BF303B">
        <w:rPr>
          <w:shd w:val="clear" w:color="auto" w:fill="FFFFFF"/>
        </w:rPr>
        <w:t>relevant comp</w:t>
      </w:r>
      <w:r>
        <w:rPr>
          <w:shd w:val="clear" w:color="auto" w:fill="FFFFFF"/>
        </w:rPr>
        <w:t xml:space="preserve">onent of </w:t>
      </w:r>
      <w:r w:rsidR="00ED2674">
        <w:rPr>
          <w:shd w:val="clear" w:color="auto" w:fill="FFFFFF"/>
        </w:rPr>
        <w:t>the</w:t>
      </w:r>
      <w:r>
        <w:rPr>
          <w:shd w:val="clear" w:color="auto" w:fill="FFFFFF"/>
        </w:rPr>
        <w:t xml:space="preserve"> characterization and quantification of ecological risk (Figure </w:t>
      </w:r>
      <w:r w:rsidR="00296199">
        <w:rPr>
          <w:shd w:val="clear" w:color="auto" w:fill="FFFFFF"/>
        </w:rPr>
        <w:t>3</w:t>
      </w:r>
      <w:r>
        <w:rPr>
          <w:shd w:val="clear" w:color="auto" w:fill="FFFFFF"/>
        </w:rPr>
        <w:t xml:space="preserve">).  This shifts the risk assessment focus </w:t>
      </w:r>
      <w:r w:rsidRPr="00BF303B">
        <w:rPr>
          <w:shd w:val="clear" w:color="auto" w:fill="FFFFFF"/>
        </w:rPr>
        <w:t>from</w:t>
      </w:r>
      <w:r>
        <w:rPr>
          <w:shd w:val="clear" w:color="auto" w:fill="FFFFFF"/>
        </w:rPr>
        <w:t xml:space="preserve"> laboratory toxicological studies of effects on individual organisms (Figure </w:t>
      </w:r>
      <w:r w:rsidR="00296199">
        <w:rPr>
          <w:shd w:val="clear" w:color="auto" w:fill="FFFFFF"/>
        </w:rPr>
        <w:t>2</w:t>
      </w:r>
      <w:r>
        <w:rPr>
          <w:shd w:val="clear" w:color="auto" w:fill="FFFFFF"/>
        </w:rPr>
        <w:t xml:space="preserve">) </w:t>
      </w:r>
      <w:r w:rsidRPr="00BF303B">
        <w:rPr>
          <w:shd w:val="clear" w:color="auto" w:fill="FFFFFF"/>
        </w:rPr>
        <w:t>to field</w:t>
      </w:r>
      <w:r>
        <w:rPr>
          <w:shd w:val="clear" w:color="auto" w:fill="FFFFFF"/>
        </w:rPr>
        <w:t>-scale studies of</w:t>
      </w:r>
      <w:r w:rsidRPr="00BF303B">
        <w:rPr>
          <w:shd w:val="clear" w:color="auto" w:fill="FFFFFF"/>
        </w:rPr>
        <w:t xml:space="preserve"> effects at</w:t>
      </w:r>
      <w:r>
        <w:rPr>
          <w:shd w:val="clear" w:color="auto" w:fill="FFFFFF"/>
        </w:rPr>
        <w:t xml:space="preserve"> the</w:t>
      </w:r>
      <w:r w:rsidRPr="00BF303B">
        <w:rPr>
          <w:shd w:val="clear" w:color="auto" w:fill="FFFFFF"/>
        </w:rPr>
        <w:t xml:space="preserve"> population, community or ecosystem level</w:t>
      </w:r>
      <w:r>
        <w:rPr>
          <w:shd w:val="clear" w:color="auto" w:fill="FFFFFF"/>
        </w:rPr>
        <w:t xml:space="preserve"> (Figure </w:t>
      </w:r>
      <w:r w:rsidR="00296199">
        <w:rPr>
          <w:shd w:val="clear" w:color="auto" w:fill="FFFFFF"/>
        </w:rPr>
        <w:t>3</w:t>
      </w:r>
      <w:r>
        <w:rPr>
          <w:shd w:val="clear" w:color="auto" w:fill="FFFFFF"/>
        </w:rPr>
        <w:t>).</w:t>
      </w:r>
    </w:p>
    <w:p w14:paraId="7CCC324B" w14:textId="77777777" w:rsidR="004C48CA" w:rsidRDefault="004C48CA" w:rsidP="008B4A4E">
      <w:pPr>
        <w:keepNext/>
        <w:keepLines/>
        <w:widowControl/>
        <w:rPr>
          <w:shd w:val="clear" w:color="auto" w:fill="FFFFFF"/>
        </w:rPr>
      </w:pPr>
    </w:p>
    <w:p w14:paraId="3FBEEC22" w14:textId="70A6A720" w:rsidR="004C48CA" w:rsidRDefault="004C48CA" w:rsidP="008B4A4E">
      <w:pPr>
        <w:keepNext/>
        <w:keepLines/>
        <w:widowControl/>
        <w:rPr>
          <w:shd w:val="clear" w:color="auto" w:fill="FFFFFF"/>
        </w:rPr>
      </w:pPr>
      <w:r>
        <w:rPr>
          <w:noProof/>
        </w:rPr>
        <mc:AlternateContent>
          <mc:Choice Requires="wpg">
            <w:drawing>
              <wp:inline distT="0" distB="0" distL="0" distR="0" wp14:anchorId="506C5DDA" wp14:editId="25408A5C">
                <wp:extent cx="4589780" cy="988154"/>
                <wp:effectExtent l="57150" t="0" r="77470" b="2540"/>
                <wp:docPr id="32" name="Group 32"/>
                <wp:cNvGraphicFramePr/>
                <a:graphic xmlns:a="http://schemas.openxmlformats.org/drawingml/2006/main">
                  <a:graphicData uri="http://schemas.microsoft.com/office/word/2010/wordprocessingGroup">
                    <wpg:wgp>
                      <wpg:cNvGrpSpPr/>
                      <wpg:grpSpPr>
                        <a:xfrm>
                          <a:off x="0" y="0"/>
                          <a:ext cx="4589780" cy="988154"/>
                          <a:chOff x="0" y="0"/>
                          <a:chExt cx="4587240" cy="991331"/>
                        </a:xfrm>
                      </wpg:grpSpPr>
                      <wpg:grpSp>
                        <wpg:cNvPr id="13" name="Group 13"/>
                        <wpg:cNvGrpSpPr/>
                        <wpg:grpSpPr>
                          <a:xfrm>
                            <a:off x="7620" y="0"/>
                            <a:ext cx="4579620" cy="662940"/>
                            <a:chOff x="0" y="0"/>
                            <a:chExt cx="4579620" cy="662940"/>
                          </a:xfrm>
                        </wpg:grpSpPr>
                        <wps:wsp>
                          <wps:cNvPr id="11" name="Text Box 2"/>
                          <wps:cNvSpPr txBox="1">
                            <a:spLocks noChangeArrowheads="1"/>
                          </wps:cNvSpPr>
                          <wps:spPr bwMode="auto">
                            <a:xfrm>
                              <a:off x="2712720" y="22860"/>
                              <a:ext cx="807720" cy="388620"/>
                            </a:xfrm>
                            <a:prstGeom prst="rect">
                              <a:avLst/>
                            </a:prstGeom>
                            <a:noFill/>
                            <a:ln w="9525">
                              <a:noFill/>
                              <a:miter lim="800000"/>
                              <a:headEnd/>
                              <a:tailEnd/>
                            </a:ln>
                          </wps:spPr>
                          <wps:txbx>
                            <w:txbxContent>
                              <w:p w14:paraId="1A75A49A" w14:textId="77777777" w:rsidR="00074ADD" w:rsidRPr="00313CAD" w:rsidRDefault="00074ADD" w:rsidP="004C48CA">
                                <w:pPr>
                                  <w:rPr>
                                    <w:rStyle w:val="Emphasis"/>
                                  </w:rPr>
                                </w:pPr>
                                <w:proofErr w:type="gramStart"/>
                                <w:r w:rsidRPr="00313CAD">
                                  <w:rPr>
                                    <w:rStyle w:val="Emphasis"/>
                                  </w:rPr>
                                  <w:t>measured</w:t>
                                </w:r>
                                <w:proofErr w:type="gramEnd"/>
                              </w:p>
                            </w:txbxContent>
                          </wps:txbx>
                          <wps:bodyPr rot="0" vert="horz" wrap="square" lIns="91440" tIns="45720" rIns="91440" bIns="45720" anchor="t" anchorCtr="0">
                            <a:noAutofit/>
                          </wps:bodyPr>
                        </wps:wsp>
                        <wps:wsp>
                          <wps:cNvPr id="12" name="Text Box 2"/>
                          <wps:cNvSpPr txBox="1">
                            <a:spLocks noChangeArrowheads="1"/>
                          </wps:cNvSpPr>
                          <wps:spPr bwMode="auto">
                            <a:xfrm>
                              <a:off x="2727960" y="274320"/>
                              <a:ext cx="807720" cy="388620"/>
                            </a:xfrm>
                            <a:prstGeom prst="rect">
                              <a:avLst/>
                            </a:prstGeom>
                            <a:noFill/>
                            <a:ln w="9525">
                              <a:noFill/>
                              <a:miter lim="800000"/>
                              <a:headEnd/>
                              <a:tailEnd/>
                            </a:ln>
                          </wps:spPr>
                          <wps:txbx>
                            <w:txbxContent>
                              <w:p w14:paraId="2E387007" w14:textId="4ED108B0" w:rsidR="00074ADD" w:rsidRDefault="00074ADD" w:rsidP="004C48CA">
                                <w:proofErr w:type="gramStart"/>
                                <w:r>
                                  <w:t>sensitivity</w:t>
                                </w:r>
                                <w:proofErr w:type="gramEnd"/>
                              </w:p>
                            </w:txbxContent>
                          </wps:txbx>
                          <wps:bodyPr rot="0" vert="horz" wrap="square" lIns="91440" tIns="45720" rIns="91440" bIns="45720" anchor="t" anchorCtr="0">
                            <a:noAutofit/>
                          </wps:bodyPr>
                        </wps:wsp>
                        <wps:wsp>
                          <wps:cNvPr id="307" name="Text Box 2"/>
                          <wps:cNvSpPr txBox="1">
                            <a:spLocks noChangeArrowheads="1"/>
                          </wps:cNvSpPr>
                          <wps:spPr bwMode="auto">
                            <a:xfrm>
                              <a:off x="1021080" y="0"/>
                              <a:ext cx="807720" cy="388620"/>
                            </a:xfrm>
                            <a:prstGeom prst="rect">
                              <a:avLst/>
                            </a:prstGeom>
                            <a:noFill/>
                            <a:ln w="9525">
                              <a:noFill/>
                              <a:miter lim="800000"/>
                              <a:headEnd/>
                              <a:tailEnd/>
                            </a:ln>
                          </wps:spPr>
                          <wps:txbx>
                            <w:txbxContent>
                              <w:p w14:paraId="462E8C57" w14:textId="77777777" w:rsidR="00074ADD" w:rsidRPr="00313CAD" w:rsidRDefault="00074ADD" w:rsidP="004C48CA">
                                <w:pPr>
                                  <w:rPr>
                                    <w:rStyle w:val="Emphasis"/>
                                  </w:rPr>
                                </w:pPr>
                                <w:proofErr w:type="gramStart"/>
                                <w:r w:rsidRPr="00313CAD">
                                  <w:rPr>
                                    <w:rStyle w:val="Emphasis"/>
                                  </w:rPr>
                                  <w:t>measured</w:t>
                                </w:r>
                                <w:proofErr w:type="gramEnd"/>
                              </w:p>
                            </w:txbxContent>
                          </wps:txbx>
                          <wps:bodyPr rot="0" vert="horz" wrap="square" lIns="91440" tIns="45720" rIns="91440" bIns="45720" anchor="t" anchorCtr="0">
                            <a:noAutofit/>
                          </wps:bodyPr>
                        </wps:wsp>
                        <wps:wsp>
                          <wps:cNvPr id="10" name="Text Box 2"/>
                          <wps:cNvSpPr txBox="1">
                            <a:spLocks noChangeArrowheads="1"/>
                          </wps:cNvSpPr>
                          <wps:spPr bwMode="auto">
                            <a:xfrm>
                              <a:off x="1021080" y="274320"/>
                              <a:ext cx="807720" cy="388620"/>
                            </a:xfrm>
                            <a:prstGeom prst="rect">
                              <a:avLst/>
                            </a:prstGeom>
                            <a:noFill/>
                            <a:ln w="9525">
                              <a:noFill/>
                              <a:miter lim="800000"/>
                              <a:headEnd/>
                              <a:tailEnd/>
                            </a:ln>
                          </wps:spPr>
                          <wps:txbx>
                            <w:txbxContent>
                              <w:p w14:paraId="02CAD09B" w14:textId="77777777" w:rsidR="00074ADD" w:rsidRDefault="00074ADD" w:rsidP="004C48CA">
                                <w:proofErr w:type="gramStart"/>
                                <w:r>
                                  <w:t>exposure</w:t>
                                </w:r>
                                <w:proofErr w:type="gramEnd"/>
                              </w:p>
                            </w:txbxContent>
                          </wps:txbx>
                          <wps:bodyPr rot="0" vert="horz" wrap="square" lIns="91440" tIns="45720" rIns="91440" bIns="45720" anchor="t" anchorCtr="0">
                            <a:noAutofit/>
                          </wps:bodyPr>
                        </wps:wsp>
                        <wps:wsp>
                          <wps:cNvPr id="5" name="Oval 5"/>
                          <wps:cNvSpPr/>
                          <wps:spPr>
                            <a:xfrm>
                              <a:off x="0" y="99060"/>
                              <a:ext cx="1051560" cy="52578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39B18C79" w14:textId="77777777" w:rsidR="00074ADD" w:rsidRDefault="00074ADD" w:rsidP="004C48CA">
                                <w:pPr>
                                  <w:jc w:val="center"/>
                                </w:pPr>
                                <w:r>
                                  <w:t>Stressor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661160" y="99060"/>
                              <a:ext cx="1051560" cy="52578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6B66C058" w14:textId="77777777" w:rsidR="00074ADD" w:rsidRDefault="00074ADD" w:rsidP="004C48CA">
                                <w:pPr>
                                  <w:jc w:val="center"/>
                                </w:pPr>
                                <w:r>
                                  <w:t>Receptor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3528060" y="99060"/>
                              <a:ext cx="1051560" cy="52578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FEDDE43" w14:textId="77777777" w:rsidR="00074ADD" w:rsidRDefault="00074ADD" w:rsidP="004C48CA">
                                <w:pPr>
                                  <w:jc w:val="center"/>
                                </w:pPr>
                                <w: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Arrow Connector 8"/>
                          <wps:cNvCnPr/>
                          <wps:spPr>
                            <a:xfrm>
                              <a:off x="1051560" y="373380"/>
                              <a:ext cx="609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9" name="Straight Arrow Connector 9"/>
                          <wps:cNvCnPr/>
                          <wps:spPr>
                            <a:xfrm>
                              <a:off x="2720340" y="373380"/>
                              <a:ext cx="800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29" name="Text Box 29"/>
                        <wps:cNvSpPr txBox="1"/>
                        <wps:spPr>
                          <a:xfrm>
                            <a:off x="0" y="723773"/>
                            <a:ext cx="4579624" cy="267558"/>
                          </a:xfrm>
                          <a:prstGeom prst="rect">
                            <a:avLst/>
                          </a:prstGeom>
                          <a:solidFill>
                            <a:prstClr val="white"/>
                          </a:solidFill>
                          <a:ln>
                            <a:noFill/>
                          </a:ln>
                          <a:effectLst/>
                        </wps:spPr>
                        <wps:txbx>
                          <w:txbxContent>
                            <w:p w14:paraId="43749891" w14:textId="0D39833C" w:rsidR="00074ADD" w:rsidRPr="00296199" w:rsidRDefault="00074ADD" w:rsidP="004C48CA">
                              <w:pPr>
                                <w:pStyle w:val="Caption"/>
                                <w:jc w:val="both"/>
                              </w:pPr>
                              <w:r>
                                <w:t xml:space="preserve">Figure 2. Traditional Risk Assessment Components (Landis and </w:t>
                              </w:r>
                              <w:proofErr w:type="spellStart"/>
                              <w:r>
                                <w:t>Wiegers</w:t>
                              </w:r>
                              <w:proofErr w:type="spellEnd"/>
                              <w:r>
                                <w:t>, 1997)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inline>
            </w:drawing>
          </mc:Choice>
          <mc:Fallback>
            <w:pict>
              <v:group id="Group 32" o:spid="_x0000_s1026" style="width:361.4pt;height:77.8pt;mso-position-horizontal-relative:char;mso-position-vertical-relative:line" coordsize="4587240,9913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">
                <v:group id="Group 13" o:spid="_x0000_s1027" style="position:absolute;left:7620;width:4579620;height:662940" coordsize="4579620,6629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e9cbcIAAADbAAAADwAA&#10;AAAAAAAAAAAAAACpAgAAZHJzL2Rvd25yZXYueG1sUEsFBgAAAAAEAAQA+gAAAJgDAAAAAA==&#10;">
                  <v:shapetype id="_x0000_t202" coordsize="21600,21600" o:spt="202" path="m0,0l0,21600,21600,21600,21600,0xe">
                    <v:stroke joinstyle="miter"/>
                    <v:path gradientshapeok="t" o:connecttype="rect"/>
                  </v:shapetype>
                  <v:shape id="Text Box 2" o:spid="_x0000_s1028" type="#_x0000_t202" style="position:absolute;left:2712720;top:22860;width:807720;height:388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1A75A49A" w14:textId="77777777" w:rsidR="00074ADD" w:rsidRPr="00313CAD" w:rsidRDefault="00074ADD" w:rsidP="004C48CA">
                          <w:pPr>
                            <w:rPr>
                              <w:rStyle w:val="Emphasis"/>
                            </w:rPr>
                          </w:pPr>
                          <w:proofErr w:type="gramStart"/>
                          <w:r w:rsidRPr="00313CAD">
                            <w:rPr>
                              <w:rStyle w:val="Emphasis"/>
                            </w:rPr>
                            <w:t>measured</w:t>
                          </w:r>
                          <w:proofErr w:type="gramEnd"/>
                        </w:p>
                      </w:txbxContent>
                    </v:textbox>
                  </v:shape>
                  <v:shape id="Text Box 2" o:spid="_x0000_s1029" type="#_x0000_t202" style="position:absolute;left:2727960;top:274320;width:807720;height:388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2E387007" w14:textId="4ED108B0" w:rsidR="00074ADD" w:rsidRDefault="00074ADD" w:rsidP="004C48CA">
                          <w:proofErr w:type="gramStart"/>
                          <w:r>
                            <w:t>sensitivity</w:t>
                          </w:r>
                          <w:proofErr w:type="gramEnd"/>
                        </w:p>
                      </w:txbxContent>
                    </v:textbox>
                  </v:shape>
                  <v:shape id="Text Box 2" o:spid="_x0000_s1030" type="#_x0000_t202" style="position:absolute;left:1021080;width:807720;height:388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el1xAAA&#10;ANwAAAAPAAAAZHJzL2Rvd25yZXYueG1sRI9bawIxFITfC/6HcIS+aaJtvaxGEUvBp4pX8O2wOe4u&#10;bk6WTequ/74pCH0cZuYbZr5sbSnuVPvCsYZBX4EgTp0pONNwPHz1JiB8QDZYOiYND/KwXHRe5pgY&#10;1/CO7vuQiQhhn6CGPIQqkdKnOVn0fVcRR+/qaoshyjqTpsYmwm0ph0qNpMWC40KOFa1zSm/7H6vh&#10;9H29nN/VNvu0H1XjWiXZTqXWr912NQMRqA3/4Wd7YzS8qTH8nY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n3pdcQAAADcAAAADwAAAAAAAAAAAAAAAACXAgAAZHJzL2Rv&#10;d25yZXYueG1sUEsFBgAAAAAEAAQA9QAAAIgDAAAAAA==&#10;" filled="f" stroked="f">
                    <v:textbox>
                      <w:txbxContent>
                        <w:p w14:paraId="462E8C57" w14:textId="77777777" w:rsidR="00074ADD" w:rsidRPr="00313CAD" w:rsidRDefault="00074ADD" w:rsidP="004C48CA">
                          <w:pPr>
                            <w:rPr>
                              <w:rStyle w:val="Emphasis"/>
                            </w:rPr>
                          </w:pPr>
                          <w:proofErr w:type="gramStart"/>
                          <w:r w:rsidRPr="00313CAD">
                            <w:rPr>
                              <w:rStyle w:val="Emphasis"/>
                            </w:rPr>
                            <w:t>measured</w:t>
                          </w:r>
                          <w:proofErr w:type="gramEnd"/>
                        </w:p>
                      </w:txbxContent>
                    </v:textbox>
                  </v:shape>
                  <v:shape id="Text Box 2" o:spid="_x0000_s1031" type="#_x0000_t202" style="position:absolute;left:1021080;top:274320;width:807720;height:388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02CAD09B" w14:textId="77777777" w:rsidR="00074ADD" w:rsidRDefault="00074ADD" w:rsidP="004C48CA">
                          <w:proofErr w:type="gramStart"/>
                          <w:r>
                            <w:t>exposure</w:t>
                          </w:r>
                          <w:proofErr w:type="gramEnd"/>
                        </w:p>
                      </w:txbxContent>
                    </v:textbox>
                  </v:shape>
                  <v:oval id="Oval 5" o:spid="_x0000_s1032" style="position:absolute;top:99060;width:1051560;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n9YlxAAA&#10;ANoAAAAPAAAAZHJzL2Rvd25yZXYueG1sRI9Pa8JAFMTvQr/D8gre6qZSbRqzipZWxFNjvXh7ZF/+&#10;0OzbkF1j/PauUPA4zMxvmHQ1mEb01LnasoLXSQSCOLe65lLB8ff7JQbhPLLGxjIpuJKD1fJplGKi&#10;7YUz6g++FAHCLkEFlfdtIqXLKzLoJrYlDl5hO4M+yK6UusNLgJtGTqNoLg3WHBYqbOmzovzvcDYK&#10;6v1H/J71p3jzM++zbbGJ5NvXUanx87BegPA0+Ef4v73TCmZwvxJugF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Z/WJcQAAADaAAAADwAAAAAAAAAAAAAAAACXAgAAZHJzL2Rv&#10;d25yZXYueG1sUEsFBgAAAAAEAAQA9QAAAIgDAAAAAA==&#10;" fillcolor="#a5d5e2 [1624]" strokecolor="#40a7c2 [3048]">
                    <v:fill color2="#e4f2f6 [504]" rotate="t" colors="0 #9eeaff;22938f #bbefff;1 #e4f9ff" type="gradient"/>
                    <v:shadow on="t" opacity="24903f" mv:blur="40000f" origin=",.5" offset="0,20000emu"/>
                    <v:textbox>
                      <w:txbxContent>
                        <w:p w14:paraId="39B18C79" w14:textId="77777777" w:rsidR="00074ADD" w:rsidRDefault="00074ADD" w:rsidP="004C48CA">
                          <w:pPr>
                            <w:jc w:val="center"/>
                          </w:pPr>
                          <w:r>
                            <w:t>Stressor</w:t>
                          </w:r>
                        </w:p>
                      </w:txbxContent>
                    </v:textbox>
                  </v:oval>
                  <v:oval id="Oval 6" o:spid="_x0000_s1033" style="position:absolute;left:1661160;top:99060;width:1051560;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TUhSxAAA&#10;ANoAAAAPAAAAZHJzL2Rvd25yZXYueG1sRI9Pa8JAFMTvQr/D8gredNNSYhqzSi1Viqcm9eLtkX35&#10;Q7NvQ3Yb47fvCkKPw8z8hsm2k+nESINrLSt4WkYgiEurW64VnL73iwSE88gaO8uk4EoOtpuHWYap&#10;thfOaSx8LQKEXYoKGu/7VEpXNmTQLW1PHLzKDgZ9kEMt9YCXADedfI6iWBpsOSw02NN7Q+VP8WsU&#10;tMfXZJWP52T3FY/5odpF8uXjpNT8cXpbg/A0+f/wvf2pFcRwuxJu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U1IUsQAAADaAAAADwAAAAAAAAAAAAAAAACXAgAAZHJzL2Rv&#10;d25yZXYueG1sUEsFBgAAAAAEAAQA9QAAAIgDAAAAAA==&#10;" fillcolor="#a5d5e2 [1624]" strokecolor="#40a7c2 [3048]">
                    <v:fill color2="#e4f2f6 [504]" rotate="t" colors="0 #9eeaff;22938f #bbefff;1 #e4f9ff" type="gradient"/>
                    <v:shadow on="t" opacity="24903f" mv:blur="40000f" origin=",.5" offset="0,20000emu"/>
                    <v:textbox>
                      <w:txbxContent>
                        <w:p w14:paraId="6B66C058" w14:textId="77777777" w:rsidR="00074ADD" w:rsidRDefault="00074ADD" w:rsidP="004C48CA">
                          <w:pPr>
                            <w:jc w:val="center"/>
                          </w:pPr>
                          <w:r>
                            <w:t>Receptor</w:t>
                          </w:r>
                        </w:p>
                      </w:txbxContent>
                    </v:textbox>
                  </v:oval>
                  <v:oval id="Oval 7" o:spid="_x0000_s1034" style="position:absolute;left:3528060;top:99060;width:1051560;height:5257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e3JwgAA&#10;ANoAAAAPAAAAZHJzL2Rvd25yZXYueG1sRI9Bi8IwFITvgv8hPGFvmiqL1moUFXeRPVn14u3RPNti&#10;81KaWLv/fiMseBxm5htmue5MJVpqXGlZwXgUgSDOrC45V3A5fw1jEM4ja6wsk4JfcrBe9XtLTLR9&#10;ckrtyeciQNglqKDwvk6kdFlBBt3I1sTBu9nGoA+yyaVu8BngppKTKJpKgyWHhQJr2hWU3U8Po6D8&#10;mceztL3G2+O0Tb9v20h+7i9KfQy6zQKEp86/w//tg1Ywg9eVc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oB7cnCAAAA2gAAAA8AAAAAAAAAAAAAAAAAlwIAAGRycy9kb3du&#10;cmV2LnhtbFBLBQYAAAAABAAEAPUAAACGAwAAAAA=&#10;" fillcolor="#a5d5e2 [1624]" strokecolor="#40a7c2 [3048]">
                    <v:fill color2="#e4f2f6 [504]" rotate="t" colors="0 #9eeaff;22938f #bbefff;1 #e4f9ff" type="gradient"/>
                    <v:shadow on="t" opacity="24903f" mv:blur="40000f" origin=",.5" offset="0,20000emu"/>
                    <v:textbox>
                      <w:txbxContent>
                        <w:p w14:paraId="5FEDDE43" w14:textId="77777777" w:rsidR="00074ADD" w:rsidRDefault="00074ADD" w:rsidP="004C48CA">
                          <w:pPr>
                            <w:jc w:val="center"/>
                          </w:pPr>
                          <w:r>
                            <w:t>Response</w:t>
                          </w:r>
                        </w:p>
                      </w:txbxContent>
                    </v:textbox>
                  </v:oval>
                  <v:shapetype id="_x0000_t32" coordsize="21600,21600" o:spt="32" o:oned="t" path="m0,0l21600,21600e" filled="f">
                    <v:path arrowok="t" fillok="f" o:connecttype="none"/>
                    <o:lock v:ext="edit" shapetype="t"/>
                  </v:shapetype>
                  <v:shape id="Straight Arrow Connector 8" o:spid="_x0000_s1035" type="#_x0000_t32" style="position:absolute;left:1051560;top:373380;width:609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qYAksEAAADaAAAADwAAAGRycy9kb3ducmV2LnhtbERPy2oCMRTdF/oP4Rbc1UxdiEyNg1rU&#10;0hal6sLlZXLngZObkKTj+PfNotDl4bznxWA60ZMPrWUFL+MMBHFpdcu1gvNp8zwDESKyxs4yKbhT&#10;gGLx+DDHXNsbf1N/jLVIIRxyVNDE6HIpQ9mQwTC2jjhxlfUGY4K+ltrjLYWbTk6ybCoNtpwaGnS0&#10;bqi8Hn+Mgo+v3Tr2mb+7tz0dZu5zVV22g1Kjp2H5CiLSEP/Ff+53rSBtTVfSDZCLX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upgCSwQAAANoAAAAPAAAAAAAAAAAAAAAA&#10;AKECAABkcnMvZG93bnJldi54bWxQSwUGAAAAAAQABAD5AAAAjwMAAAAA&#10;" strokecolor="#4f81bd [3204]" strokeweight="2pt">
                    <v:stroke endarrow="open"/>
                    <v:shadow on="t" opacity="24903f" mv:blur="40000f" origin=",.5" offset="0,20000emu"/>
                  </v:shape>
                  <v:shape id="Straight Arrow Connector 9" o:spid="_x0000_s1036" type="#_x0000_t32" style="position:absolute;left:2720340;top:373380;width:8001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qlCcQAAADaAAAADwAAAGRycy9kb3ducmV2LnhtbESPT2sCMRTE70K/Q3iF3jRbD0VXo7QW&#10;26LS4p9Dj4/Nc3fp5iUk6bp+eyMIHoeZ+Q0znXemES35UFtW8DzIQBAXVtdcKjjsl/0RiBCRNTaW&#10;ScGZAsxnD70p5tqeeEvtLpYiQTjkqKCK0eVShqIig2FgHXHyjtYbjEn6UmqPpwQ3jRxm2Ys0WHNa&#10;qNDRoqLib/dvFKw2n4vYZv7s3r/pZ+TWb8ffj06pp8fudQIiUhfv4Vv7SysYw/VKugF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6qUJxAAAANoAAAAPAAAAAAAAAAAA&#10;AAAAAKECAABkcnMvZG93bnJldi54bWxQSwUGAAAAAAQABAD5AAAAkgMAAAAA&#10;" strokecolor="#4f81bd [3204]" strokeweight="2pt">
                    <v:stroke endarrow="open"/>
                    <v:shadow on="t" opacity="24903f" mv:blur="40000f" origin=",.5" offset="0,20000emu"/>
                  </v:shape>
                </v:group>
                <v:shape id="Text Box 29" o:spid="_x0000_s1037" type="#_x0000_t202" style="position:absolute;top:723773;width:4579624;height:2675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J/jmxgAA&#10;ANsAAAAPAAAAZHJzL2Rvd25yZXYueG1sRI9BawIxFITvQv9DeAUvotlakboaRaRC24t068XbY/Pc&#10;rG5eliSr23/fFAo9DjPzDbPa9LYRN/KhdqzgaZKBIC6drrlScPzaj19AhIissXFMCr4pwGb9MFhh&#10;rt2dP+lWxEokCIccFZgY21zKUBqyGCauJU7e2XmLMUlfSe3xnuC2kdMsm0uLNacFgy3tDJXXorMK&#10;DrPTwYy68+vHdvbs34/dbn6pCqWGj/12CSJSH//Df+03rWC6gN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J/jmxgAAANsAAAAPAAAAAAAAAAAAAAAAAJcCAABkcnMv&#10;ZG93bnJldi54bWxQSwUGAAAAAAQABAD1AAAAigMAAAAA&#10;" stroked="f">
                  <v:textbox style="mso-fit-shape-to-text:t" inset="0,0,0,0">
                    <w:txbxContent>
                      <w:p w14:paraId="43749891" w14:textId="0D39833C" w:rsidR="00074ADD" w:rsidRPr="00296199" w:rsidRDefault="00074ADD" w:rsidP="004C48CA">
                        <w:pPr>
                          <w:pStyle w:val="Caption"/>
                          <w:jc w:val="both"/>
                        </w:pPr>
                        <w:r>
                          <w:t xml:space="preserve">Figure 2. Traditional Risk Assessment Components (Landis and </w:t>
                        </w:r>
                        <w:proofErr w:type="spellStart"/>
                        <w:r>
                          <w:t>Wiegers</w:t>
                        </w:r>
                        <w:proofErr w:type="spellEnd"/>
                        <w:r>
                          <w:t>, 1997)</w:t>
                        </w:r>
                      </w:p>
                    </w:txbxContent>
                  </v:textbox>
                </v:shape>
                <w10:anchorlock/>
              </v:group>
            </w:pict>
          </mc:Fallback>
        </mc:AlternateContent>
      </w:r>
    </w:p>
    <w:p w14:paraId="447A31FF" w14:textId="30953959" w:rsidR="008B4A4E" w:rsidRPr="008E5837" w:rsidRDefault="008B4A4E" w:rsidP="008B4A4E">
      <w:pPr>
        <w:keepNext/>
        <w:keepLines/>
        <w:widowControl/>
      </w:pPr>
    </w:p>
    <w:p w14:paraId="631AD896" w14:textId="67C5CE2A" w:rsidR="008B4A4E" w:rsidRDefault="00F111FC" w:rsidP="005A629B">
      <w:pPr>
        <w:rPr>
          <w:shd w:val="clear" w:color="auto" w:fill="FFFFFF"/>
        </w:rPr>
      </w:pPr>
      <w:r>
        <w:rPr>
          <w:noProof/>
        </w:rPr>
        <mc:AlternateContent>
          <mc:Choice Requires="wpg">
            <w:drawing>
              <wp:anchor distT="0" distB="0" distL="114300" distR="114300" simplePos="0" relativeHeight="251696128" behindDoc="0" locked="0" layoutInCell="1" allowOverlap="1" wp14:anchorId="665C9903" wp14:editId="2A83225C">
                <wp:simplePos x="0" y="0"/>
                <wp:positionH relativeFrom="column">
                  <wp:posOffset>114300</wp:posOffset>
                </wp:positionH>
                <wp:positionV relativeFrom="paragraph">
                  <wp:posOffset>184785</wp:posOffset>
                </wp:positionV>
                <wp:extent cx="5435600" cy="2193290"/>
                <wp:effectExtent l="50800" t="25400" r="76200" b="0"/>
                <wp:wrapThrough wrapText="bothSides">
                  <wp:wrapPolygon edited="0">
                    <wp:start x="12415" y="-250"/>
                    <wp:lineTo x="10194" y="-250"/>
                    <wp:lineTo x="10194" y="3752"/>
                    <wp:lineTo x="-202" y="3752"/>
                    <wp:lineTo x="-202" y="10756"/>
                    <wp:lineTo x="202" y="11757"/>
                    <wp:lineTo x="202" y="12257"/>
                    <wp:lineTo x="4542" y="15759"/>
                    <wp:lineTo x="5148" y="15759"/>
                    <wp:lineTo x="-202" y="18761"/>
                    <wp:lineTo x="-202" y="21262"/>
                    <wp:lineTo x="12415" y="21262"/>
                    <wp:lineTo x="12415" y="19761"/>
                    <wp:lineTo x="14434" y="19761"/>
                    <wp:lineTo x="21398" y="16760"/>
                    <wp:lineTo x="21398" y="15759"/>
                    <wp:lineTo x="21802" y="12007"/>
                    <wp:lineTo x="21802" y="10506"/>
                    <wp:lineTo x="19884" y="8505"/>
                    <wp:lineTo x="17865" y="7004"/>
                    <wp:lineTo x="17260" y="6003"/>
                    <wp:lineTo x="15342" y="3752"/>
                    <wp:lineTo x="15443" y="2501"/>
                    <wp:lineTo x="13828" y="-250"/>
                    <wp:lineTo x="13121" y="-250"/>
                    <wp:lineTo x="12415" y="-250"/>
                  </wp:wrapPolygon>
                </wp:wrapThrough>
                <wp:docPr id="45" name="Group 45"/>
                <wp:cNvGraphicFramePr/>
                <a:graphic xmlns:a="http://schemas.openxmlformats.org/drawingml/2006/main">
                  <a:graphicData uri="http://schemas.microsoft.com/office/word/2010/wordprocessingGroup">
                    <wpg:wgp>
                      <wpg:cNvGrpSpPr/>
                      <wpg:grpSpPr>
                        <a:xfrm>
                          <a:off x="0" y="0"/>
                          <a:ext cx="5435600" cy="2193290"/>
                          <a:chOff x="0" y="0"/>
                          <a:chExt cx="5435600" cy="2193290"/>
                        </a:xfrm>
                      </wpg:grpSpPr>
                      <wps:wsp>
                        <wps:cNvPr id="46" name="Straight Arrow Connector 46"/>
                        <wps:cNvCnPr/>
                        <wps:spPr>
                          <a:xfrm>
                            <a:off x="4000500" y="1371600"/>
                            <a:ext cx="2286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cNvPr id="47" name="Group 47"/>
                        <wpg:cNvGrpSpPr/>
                        <wpg:grpSpPr>
                          <a:xfrm>
                            <a:off x="0" y="0"/>
                            <a:ext cx="5435600" cy="2193290"/>
                            <a:chOff x="0" y="0"/>
                            <a:chExt cx="5435600" cy="2193290"/>
                          </a:xfrm>
                        </wpg:grpSpPr>
                        <wps:wsp>
                          <wps:cNvPr id="48" name="Text Box 48"/>
                          <wps:cNvSpPr txBox="1"/>
                          <wps:spPr>
                            <a:xfrm>
                              <a:off x="0" y="1943100"/>
                              <a:ext cx="3094355" cy="250190"/>
                            </a:xfrm>
                            <a:prstGeom prst="rect">
                              <a:avLst/>
                            </a:prstGeom>
                            <a:solidFill>
                              <a:prstClr val="white"/>
                            </a:solidFill>
                            <a:ln>
                              <a:noFill/>
                            </a:ln>
                            <a:effectLst/>
                          </wps:spPr>
                          <wps:txbx>
                            <w:txbxContent>
                              <w:p w14:paraId="3045AF6E" w14:textId="77777777" w:rsidR="00074ADD" w:rsidRPr="0025091C" w:rsidRDefault="00074ADD" w:rsidP="00F111FC">
                                <w:pPr>
                                  <w:pStyle w:val="Caption"/>
                                  <w:jc w:val="both"/>
                                  <w:rPr>
                                    <w:rFonts w:ascii="Arial" w:eastAsia="Arial" w:hAnsi="Arial" w:cs="Arial"/>
                                    <w:noProof/>
                                    <w:color w:val="365F91" w:themeColor="accent1" w:themeShade="BF"/>
                                    <w:szCs w:val="26"/>
                                  </w:rPr>
                                </w:pPr>
                                <w:r>
                                  <w:t>Figure 3. Regional Pressures Assessment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0" y="0"/>
                              <a:ext cx="5435600" cy="1901190"/>
                              <a:chOff x="0" y="0"/>
                              <a:chExt cx="5435600" cy="1901190"/>
                            </a:xfrm>
                          </wpg:grpSpPr>
                          <wps:wsp>
                            <wps:cNvPr id="50" name="Oval 50"/>
                            <wps:cNvSpPr/>
                            <wps:spPr>
                              <a:xfrm>
                                <a:off x="0" y="457200"/>
                                <a:ext cx="1051560" cy="83058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7C67E1C1" w14:textId="77777777" w:rsidR="00074ADD" w:rsidRDefault="00074ADD" w:rsidP="00F111FC">
                                  <w:pPr>
                                    <w:jc w:val="center"/>
                                  </w:pPr>
                                  <w:r>
                                    <w:t>Pressure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2171065" y="800735"/>
                                <a:ext cx="844306" cy="535663"/>
                              </a:xfrm>
                              <a:prstGeom prst="rect">
                                <a:avLst/>
                              </a:prstGeom>
                              <a:noFill/>
                              <a:ln w="9525">
                                <a:noFill/>
                                <a:miter lim="800000"/>
                                <a:headEnd/>
                                <a:tailEnd/>
                              </a:ln>
                            </wps:spPr>
                            <wps:txbx>
                              <w:txbxContent>
                                <w:p w14:paraId="384C9E4D" w14:textId="77777777" w:rsidR="00074ADD" w:rsidRPr="009A3468" w:rsidRDefault="00074ADD" w:rsidP="00F111FC">
                                  <w:pPr>
                                    <w:rPr>
                                      <w:rStyle w:val="Emphasis"/>
                                      <w:sz w:val="20"/>
                                      <w:szCs w:val="20"/>
                                    </w:rPr>
                                  </w:pPr>
                                  <w:proofErr w:type="gramStart"/>
                                  <w:r w:rsidRPr="009A3468">
                                    <w:rPr>
                                      <w:rStyle w:val="Emphasis"/>
                                      <w:sz w:val="20"/>
                                      <w:szCs w:val="20"/>
                                    </w:rPr>
                                    <w:t>assessed</w:t>
                                  </w:r>
                                  <w:proofErr w:type="gramEnd"/>
                                  <w:r w:rsidRPr="009A3468">
                                    <w:rPr>
                                      <w:rStyle w:val="Emphasis"/>
                                      <w:sz w:val="20"/>
                                      <w:szCs w:val="20"/>
                                    </w:rPr>
                                    <w:t>, modeled</w:t>
                                  </w:r>
                                </w:p>
                              </w:txbxContent>
                            </wps:txbx>
                            <wps:bodyPr rot="0" vert="horz" wrap="square" lIns="91440" tIns="45720" rIns="91440" bIns="45720" anchor="t" anchorCtr="0">
                              <a:noAutofit/>
                            </wps:bodyPr>
                          </wps:wsp>
                          <wps:wsp>
                            <wps:cNvPr id="52" name="Text Box 2"/>
                            <wps:cNvSpPr txBox="1">
                              <a:spLocks noChangeArrowheads="1"/>
                            </wps:cNvSpPr>
                            <wps:spPr bwMode="auto">
                              <a:xfrm>
                                <a:off x="2056130" y="1336675"/>
                                <a:ext cx="800682" cy="530080"/>
                              </a:xfrm>
                              <a:prstGeom prst="rect">
                                <a:avLst/>
                              </a:prstGeom>
                              <a:noFill/>
                              <a:ln w="9525">
                                <a:noFill/>
                                <a:miter lim="800000"/>
                                <a:headEnd/>
                                <a:tailEnd/>
                              </a:ln>
                            </wps:spPr>
                            <wps:txbx>
                              <w:txbxContent>
                                <w:p w14:paraId="6E61CD1B" w14:textId="77777777" w:rsidR="00074ADD" w:rsidRPr="00AC2621" w:rsidRDefault="00074ADD" w:rsidP="00F111FC">
                                  <w:pPr>
                                    <w:rPr>
                                      <w:rStyle w:val="Emphasis"/>
                                      <w:i w:val="0"/>
                                      <w:color w:val="auto"/>
                                      <w:sz w:val="18"/>
                                    </w:rPr>
                                  </w:pPr>
                                  <w:proofErr w:type="gramStart"/>
                                  <w:r>
                                    <w:rPr>
                                      <w:rStyle w:val="Emphasis"/>
                                      <w:i w:val="0"/>
                                      <w:color w:val="auto"/>
                                      <w:sz w:val="18"/>
                                    </w:rPr>
                                    <w:t>s</w:t>
                                  </w:r>
                                  <w:r w:rsidRPr="00AC2621">
                                    <w:rPr>
                                      <w:rStyle w:val="Emphasis"/>
                                      <w:i w:val="0"/>
                                      <w:color w:val="auto"/>
                                      <w:sz w:val="18"/>
                                    </w:rPr>
                                    <w:t>tressor</w:t>
                                  </w:r>
                                  <w:proofErr w:type="gramEnd"/>
                                  <w:r>
                                    <w:rPr>
                                      <w:rStyle w:val="Emphasis"/>
                                      <w:i w:val="0"/>
                                      <w:color w:val="auto"/>
                                      <w:sz w:val="18"/>
                                    </w:rPr>
                                    <w:t xml:space="preserve">  in</w:t>
                                  </w:r>
                                  <w:r w:rsidRPr="00AC2621">
                                    <w:rPr>
                                      <w:rStyle w:val="Emphasis"/>
                                      <w:i w:val="0"/>
                                      <w:color w:val="auto"/>
                                      <w:sz w:val="18"/>
                                    </w:rPr>
                                    <w:t>tensity</w:t>
                                  </w:r>
                                </w:p>
                                <w:p w14:paraId="39067C8B" w14:textId="77777777" w:rsidR="00074ADD" w:rsidRPr="00AC2621" w:rsidRDefault="00074ADD" w:rsidP="00F111FC">
                                  <w:pPr>
                                    <w:rPr>
                                      <w:sz w:val="18"/>
                                    </w:rPr>
                                  </w:pPr>
                                </w:p>
                              </w:txbxContent>
                            </wps:txbx>
                            <wps:bodyPr rot="0" vert="horz" wrap="square" lIns="2" tIns="45720" rIns="91440" bIns="45720" anchor="t" anchorCtr="0">
                              <a:noAutofit/>
                            </wps:bodyPr>
                          </wps:wsp>
                          <wps:wsp>
                            <wps:cNvPr id="53" name="Oval 53"/>
                            <wps:cNvSpPr/>
                            <wps:spPr>
                              <a:xfrm>
                                <a:off x="1102360" y="1086485"/>
                                <a:ext cx="1052035" cy="494012"/>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8E4C486" w14:textId="77777777" w:rsidR="00074ADD" w:rsidRDefault="00074ADD" w:rsidP="00F111FC">
                                  <w:pPr>
                                    <w:jc w:val="center"/>
                                  </w:pPr>
                                  <w:r>
                                    <w:t>Stressor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2771775" y="993775"/>
                                <a:ext cx="1248383" cy="758613"/>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0B543554" w14:textId="77777777" w:rsidR="00074ADD" w:rsidRPr="0037148F" w:rsidRDefault="00074ADD" w:rsidP="00F111FC">
                                  <w:pPr>
                                    <w:jc w:val="center"/>
                                    <w:rPr>
                                      <w:sz w:val="20"/>
                                      <w:szCs w:val="16"/>
                                    </w:rPr>
                                  </w:pPr>
                                  <w:r w:rsidRPr="0037148F">
                                    <w:rPr>
                                      <w:sz w:val="20"/>
                                      <w:szCs w:val="16"/>
                                    </w:rPr>
                                    <w:t>Assessment Endpoint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2628900" y="0"/>
                                <a:ext cx="1156970" cy="678815"/>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388E9987" w14:textId="77777777" w:rsidR="00074ADD" w:rsidRPr="0037148F" w:rsidRDefault="00074ADD" w:rsidP="00F111FC">
                                  <w:pPr>
                                    <w:jc w:val="center"/>
                                    <w:rPr>
                                      <w:sz w:val="20"/>
                                      <w:szCs w:val="20"/>
                                    </w:rPr>
                                  </w:pPr>
                                  <w:r w:rsidRPr="0037148F">
                                    <w:rPr>
                                      <w:sz w:val="20"/>
                                      <w:szCs w:val="20"/>
                                    </w:rPr>
                                    <w:t>Assessment Context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a:off x="2153920" y="1344295"/>
                                <a:ext cx="6098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7" name="Straight Arrow Connector 57"/>
                            <wps:cNvCnPr/>
                            <wps:spPr>
                              <a:xfrm>
                                <a:off x="914400" y="1143000"/>
                                <a:ext cx="233680" cy="1079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58" name="Straight Arrow Connector 58"/>
                            <wps:cNvCnPr/>
                            <wps:spPr>
                              <a:xfrm>
                                <a:off x="3771900" y="457200"/>
                                <a:ext cx="685800" cy="4572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59" name="Oval 59"/>
                            <wps:cNvSpPr/>
                            <wps:spPr>
                              <a:xfrm>
                                <a:off x="4229100" y="914400"/>
                                <a:ext cx="1206500" cy="774700"/>
                              </a:xfrm>
                              <a:prstGeom prst="ellipse">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5"/>
                              </a:lnRef>
                              <a:fillRef idx="2">
                                <a:schemeClr val="accent5"/>
                              </a:fillRef>
                              <a:effectRef idx="1">
                                <a:schemeClr val="accent5"/>
                              </a:effectRef>
                              <a:fontRef idx="minor">
                                <a:schemeClr val="dk1"/>
                              </a:fontRef>
                            </wps:style>
                            <wps:txbx>
                              <w:txbxContent>
                                <w:p w14:paraId="51A4AADB" w14:textId="77777777" w:rsidR="00074ADD" w:rsidRDefault="00074ADD" w:rsidP="00F111FC">
                                  <w:pPr>
                                    <w:jc w:val="center"/>
                                  </w:pPr>
                                  <w:r>
                                    <w:t>Ecosystem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2"/>
                            <wps:cNvSpPr txBox="1">
                              <a:spLocks noChangeArrowheads="1"/>
                            </wps:cNvSpPr>
                            <wps:spPr bwMode="auto">
                              <a:xfrm>
                                <a:off x="4000500" y="1371600"/>
                                <a:ext cx="800100" cy="529590"/>
                              </a:xfrm>
                              <a:prstGeom prst="rect">
                                <a:avLst/>
                              </a:prstGeom>
                              <a:noFill/>
                              <a:ln w="9525">
                                <a:noFill/>
                                <a:miter lim="800000"/>
                                <a:headEnd/>
                                <a:tailEnd/>
                              </a:ln>
                            </wps:spPr>
                            <wps:txbx>
                              <w:txbxContent>
                                <w:p w14:paraId="353B7318" w14:textId="77777777" w:rsidR="00074ADD" w:rsidRPr="00AC2621" w:rsidRDefault="00074ADD" w:rsidP="00F111FC">
                                  <w:pPr>
                                    <w:rPr>
                                      <w:rStyle w:val="Emphasis"/>
                                      <w:i w:val="0"/>
                                      <w:color w:val="auto"/>
                                      <w:sz w:val="18"/>
                                    </w:rPr>
                                  </w:pPr>
                                  <w:proofErr w:type="gramStart"/>
                                  <w:r>
                                    <w:rPr>
                                      <w:rStyle w:val="Emphasis"/>
                                      <w:i w:val="0"/>
                                      <w:color w:val="auto"/>
                                      <w:sz w:val="18"/>
                                    </w:rPr>
                                    <w:t>intrinsic</w:t>
                                  </w:r>
                                  <w:proofErr w:type="gramEnd"/>
                                  <w:r>
                                    <w:rPr>
                                      <w:rStyle w:val="Emphasis"/>
                                      <w:i w:val="0"/>
                                      <w:color w:val="auto"/>
                                      <w:sz w:val="18"/>
                                    </w:rPr>
                                    <w:t xml:space="preserve"> vulnerability</w:t>
                                  </w:r>
                                </w:p>
                                <w:p w14:paraId="44BB29E6" w14:textId="77777777" w:rsidR="00074ADD" w:rsidRPr="00AC2621" w:rsidRDefault="00074ADD" w:rsidP="00F111FC">
                                  <w:pPr>
                                    <w:rPr>
                                      <w:sz w:val="18"/>
                                    </w:rPr>
                                  </w:pPr>
                                </w:p>
                              </w:txbxContent>
                            </wps:txbx>
                            <wps:bodyPr rot="0" vert="horz" wrap="square" lIns="2" tIns="45720" rIns="91440" bIns="45720" anchor="t" anchorCtr="0">
                              <a:noAutofit/>
                            </wps:bodyPr>
                          </wps:wsp>
                          <wps:wsp>
                            <wps:cNvPr id="61" name="Text Box 2"/>
                            <wps:cNvSpPr txBox="1">
                              <a:spLocks noChangeArrowheads="1"/>
                            </wps:cNvSpPr>
                            <wps:spPr bwMode="auto">
                              <a:xfrm>
                                <a:off x="3665855" y="629285"/>
                                <a:ext cx="843915" cy="535305"/>
                              </a:xfrm>
                              <a:prstGeom prst="rect">
                                <a:avLst/>
                              </a:prstGeom>
                              <a:noFill/>
                              <a:ln w="9525">
                                <a:noFill/>
                                <a:miter lim="800000"/>
                                <a:headEnd/>
                                <a:tailEnd/>
                              </a:ln>
                            </wps:spPr>
                            <wps:txbx>
                              <w:txbxContent>
                                <w:p w14:paraId="5B432FA6" w14:textId="77777777" w:rsidR="00074ADD" w:rsidRPr="009A3468" w:rsidRDefault="00074ADD" w:rsidP="00F111FC">
                                  <w:pPr>
                                    <w:rPr>
                                      <w:rStyle w:val="Emphasis"/>
                                      <w:sz w:val="20"/>
                                      <w:szCs w:val="20"/>
                                    </w:rPr>
                                  </w:pPr>
                                  <w:proofErr w:type="gramStart"/>
                                  <w:r w:rsidRPr="009A3468">
                                    <w:rPr>
                                      <w:rStyle w:val="Emphasis"/>
                                      <w:sz w:val="20"/>
                                      <w:szCs w:val="20"/>
                                    </w:rPr>
                                    <w:t>assessed</w:t>
                                  </w:r>
                                  <w:proofErr w:type="gramEnd"/>
                                  <w:r w:rsidRPr="009A3468">
                                    <w:rPr>
                                      <w:rStyle w:val="Emphasis"/>
                                      <w:sz w:val="20"/>
                                      <w:szCs w:val="20"/>
                                    </w:rPr>
                                    <w:t>, modeled</w:t>
                                  </w:r>
                                </w:p>
                              </w:txbxContent>
                            </wps:txbx>
                            <wps:bodyPr rot="0" vert="horz" wrap="square" lIns="91440" tIns="45720" rIns="91440" bIns="45720" anchor="t" anchorCtr="0">
                              <a:noAutofit/>
                            </wps:bodyPr>
                          </wps:wsp>
                          <wps:wsp>
                            <wps:cNvPr id="62" name="Straight Arrow Connector 62"/>
                            <wps:cNvCnPr/>
                            <wps:spPr>
                              <a:xfrm>
                                <a:off x="3314700" y="685800"/>
                                <a:ext cx="114300" cy="3429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064" name="Straight Arrow Connector 2064"/>
                            <wps:cNvCnPr/>
                            <wps:spPr>
                              <a:xfrm flipH="1">
                                <a:off x="1828800" y="571500"/>
                                <a:ext cx="914400" cy="57150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g:grpSp>
                      </wpg:grpSp>
                    </wpg:wgp>
                  </a:graphicData>
                </a:graphic>
              </wp:anchor>
            </w:drawing>
          </mc:Choice>
          <mc:Fallback>
            <w:pict>
              <v:group id="Group 45" o:spid="_x0000_s1038" style="position:absolute;margin-left:9pt;margin-top:14.55pt;width:428pt;height:172.7pt;z-index:251696128;mso-position-horizontal-relative:text;mso-position-vertical-relative:text" coordsize="5435600,21932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">
                <v:shape id="Straight Arrow Connector 46" o:spid="_x0000_s1039" type="#_x0000_t32" style="position:absolute;left:4000500;top:1371600;width:2286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n4K8UAAADbAAAADwAAAGRycy9kb3ducmV2LnhtbESPT2sCMRTE7wW/Q3iF3mq2pYisRmkt&#10;bUWl4p+Dx8fmubu4eQlJuq7f3ghCj8PM/IYZTzvTiJZ8qC0reOlnIIgLq2suFex3X89DECEia2ws&#10;k4ILBZhOeg9jzLU984babSxFgnDIUUEVo8ulDEVFBkPfOuLkHa03GJP0pdQezwluGvmaZQNpsOa0&#10;UKGjWUXFaftnFCxWP7PYZv7iPn9pPXTLj+Phu1Pq6bF7H4GI1MX/8L091wreBnD7kn6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Yn4K8UAAADbAAAADwAAAAAAAAAA&#10;AAAAAAChAgAAZHJzL2Rvd25yZXYueG1sUEsFBgAAAAAEAAQA+QAAAJMDAAAAAA==&#10;" strokecolor="#4f81bd [3204]" strokeweight="2pt">
                  <v:stroke endarrow="open"/>
                  <v:shadow on="t" opacity="24903f" mv:blur="40000f" origin=",.5" offset="0,20000emu"/>
                </v:shape>
                <v:group id="Group 47" o:spid="_x0000_s1040" style="position:absolute;width:5435600;height:2193290" coordsize="5435600,2193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shape id="Text Box 48" o:spid="_x0000_s1041" type="#_x0000_t202" style="position:absolute;top:1943100;width:3094355;height:2501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5/dFwQAA&#10;ANsAAAAPAAAAZHJzL2Rvd25yZXYueG1sRE/LasJAFN0X+g/DLbgpOlGKSOoomih00S584PqSuU2C&#10;mTthZvLw751FocvDea+3o2lET87XlhXMZwkI4sLqmksF18txugLhA7LGxjIpeJCH7eb1ZY2ptgOf&#10;qD+HUsQQ9ikqqEJoUyl9UZFBP7MtceR+rTMYInSl1A6HGG4auUiSpTRYc2yosKWsouJ+7oyCZe66&#10;4cTZe349fONPWy5u+8dNqcnbuPsEEWgM/+I/95dW8BHHxi/xB8jN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Of3RcEAAADbAAAADwAAAAAAAAAAAAAAAACXAgAAZHJzL2Rvd25y&#10;ZXYueG1sUEsFBgAAAAAEAAQA9QAAAIUDAAAAAA==&#10;" stroked="f">
                    <v:textbox inset="0,0,0,0">
                      <w:txbxContent>
                        <w:p w14:paraId="3045AF6E" w14:textId="77777777" w:rsidR="00074ADD" w:rsidRPr="0025091C" w:rsidRDefault="00074ADD" w:rsidP="00F111FC">
                          <w:pPr>
                            <w:pStyle w:val="Caption"/>
                            <w:jc w:val="both"/>
                            <w:rPr>
                              <w:rFonts w:ascii="Arial" w:eastAsia="Arial" w:hAnsi="Arial" w:cs="Arial"/>
                              <w:noProof/>
                              <w:color w:val="365F91" w:themeColor="accent1" w:themeShade="BF"/>
                              <w:szCs w:val="26"/>
                            </w:rPr>
                          </w:pPr>
                          <w:r>
                            <w:t>Figure 3. Regional Pressures Assessment Framework</w:t>
                          </w:r>
                        </w:p>
                      </w:txbxContent>
                    </v:textbox>
                  </v:shape>
                  <v:group id="Group 49" o:spid="_x0000_s1042" style="position:absolute;width:5435600;height:1901190" coordsize="5435600,19011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oval id="Oval 50" o:spid="_x0000_s1043" style="position:absolute;top:457200;width:1051560;height:8305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XsCwgAA&#10;ANsAAAAPAAAAZHJzL2Rvd25yZXYueG1sRE+7bsIwFN2R+AfrIrEVh4qGNMUgqGhVdWogS7er+Oah&#10;xtdRbJL07+uhEuPRee8Ok2nFQL1rLCtYryIQxIXVDVcK8uvbQwLCeWSNrWVS8EsODvv5bIeptiNn&#10;NFx8JUIIuxQV1N53qZSuqMmgW9mOOHCl7Q36APtK6h7HEG5a+RhFsTTYcGiosaPXmoqfy80oaD6f&#10;k202fCenr3jI3stTJDfnXKnlYjq+gPA0+bv43/2hFTyF9eFL+AF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cpewLCAAAA2wAAAA8AAAAAAAAAAAAAAAAAlwIAAGRycy9kb3du&#10;cmV2LnhtbFBLBQYAAAAABAAEAPUAAACGAwAAAAA=&#10;" fillcolor="#a5d5e2 [1624]" strokecolor="#40a7c2 [3048]">
                      <v:fill color2="#e4f2f6 [504]" rotate="t" colors="0 #9eeaff;22938f #bbefff;1 #e4f9ff" type="gradient"/>
                      <v:shadow on="t" opacity="24903f" mv:blur="40000f" origin=",.5" offset="0,20000emu"/>
                      <v:textbox>
                        <w:txbxContent>
                          <w:p w14:paraId="7C67E1C1" w14:textId="77777777" w:rsidR="00074ADD" w:rsidRDefault="00074ADD" w:rsidP="00F111FC">
                            <w:pPr>
                              <w:jc w:val="center"/>
                            </w:pPr>
                            <w:r>
                              <w:t>Pressure Class</w:t>
                            </w:r>
                          </w:p>
                        </w:txbxContent>
                      </v:textbox>
                    </v:oval>
                    <v:shape id="Text Box 2" o:spid="_x0000_s1044" type="#_x0000_t202" style="position:absolute;left:2171065;top:800735;width:844306;height:535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smiwwAA&#10;ANsAAAAPAAAAZHJzL2Rvd25yZXYueG1sRI/NasMwEITvhbyD2EBvteSSlMSxYkJLoKeW5g9yW6yN&#10;bWKtjKXG7ttXhUKOw8x8w+TFaFtxo943jjWkiQJBXDrTcKXhsN8+LUD4gGywdUwafshDsZ485JgZ&#10;N/AX3XahEhHCPkMNdQhdJqUva7LoE9cRR+/ieoshyr6Spschwm0rn5V6kRYbjgs1dvRaU3ndfVsN&#10;x4/L+TRTn9WbnXeDG5Vku5RaP07Hz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smiwwAAANsAAAAPAAAAAAAAAAAAAAAAAJcCAABkcnMvZG93&#10;bnJldi54bWxQSwUGAAAAAAQABAD1AAAAhwMAAAAA&#10;" filled="f" stroked="f">
                      <v:textbox>
                        <w:txbxContent>
                          <w:p w14:paraId="384C9E4D" w14:textId="77777777" w:rsidR="00074ADD" w:rsidRPr="009A3468" w:rsidRDefault="00074ADD" w:rsidP="00F111FC">
                            <w:pPr>
                              <w:rPr>
                                <w:rStyle w:val="Emphasis"/>
                                <w:sz w:val="20"/>
                                <w:szCs w:val="20"/>
                              </w:rPr>
                            </w:pPr>
                            <w:proofErr w:type="gramStart"/>
                            <w:r w:rsidRPr="009A3468">
                              <w:rPr>
                                <w:rStyle w:val="Emphasis"/>
                                <w:sz w:val="20"/>
                                <w:szCs w:val="20"/>
                              </w:rPr>
                              <w:t>assessed</w:t>
                            </w:r>
                            <w:proofErr w:type="gramEnd"/>
                            <w:r w:rsidRPr="009A3468">
                              <w:rPr>
                                <w:rStyle w:val="Emphasis"/>
                                <w:sz w:val="20"/>
                                <w:szCs w:val="20"/>
                              </w:rPr>
                              <w:t>, modeled</w:t>
                            </w:r>
                          </w:p>
                        </w:txbxContent>
                      </v:textbox>
                    </v:shape>
                    <v:shape id="Text Box 2" o:spid="_x0000_s1045" type="#_x0000_t202" style="position:absolute;left:2056130;top:1336675;width:800682;height:530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P4jCxQAA&#10;ANsAAAAPAAAAZHJzL2Rvd25yZXYueG1sRI9Pa8JAFMTvgt9heYI33ShUJLqKCLa5+aeKeHtmn0lI&#10;9m3IbmPsp+8WCj0OM/MbZrnuTCVaalxhWcFkHIEgTq0uOFNw/tyN5iCcR9ZYWSYFL3KwXvV7S4y1&#10;ffKR2pPPRICwi1FB7n0dS+nSnAy6sa2Jg/ewjUEfZJNJ3eAzwE0lp1E0kwYLDgs51rTNKS1PX0bB&#10;/CN5vR+/k/PVt5fD5n7b38pSKjUcdJsFCE+d/w//tROt4G0Kv1/CD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M/iMLFAAAA2wAAAA8AAAAAAAAAAAAAAAAAlwIAAGRycy9k&#10;b3ducmV2LnhtbFBLBQYAAAAABAAEAPUAAACJAwAAAAA=&#10;" filled="f" stroked="f">
                      <v:textbox inset="2emu">
                        <w:txbxContent>
                          <w:p w14:paraId="6E61CD1B" w14:textId="77777777" w:rsidR="00074ADD" w:rsidRPr="00AC2621" w:rsidRDefault="00074ADD" w:rsidP="00F111FC">
                            <w:pPr>
                              <w:rPr>
                                <w:rStyle w:val="Emphasis"/>
                                <w:i w:val="0"/>
                                <w:color w:val="auto"/>
                                <w:sz w:val="18"/>
                              </w:rPr>
                            </w:pPr>
                            <w:proofErr w:type="gramStart"/>
                            <w:r>
                              <w:rPr>
                                <w:rStyle w:val="Emphasis"/>
                                <w:i w:val="0"/>
                                <w:color w:val="auto"/>
                                <w:sz w:val="18"/>
                              </w:rPr>
                              <w:t>s</w:t>
                            </w:r>
                            <w:r w:rsidRPr="00AC2621">
                              <w:rPr>
                                <w:rStyle w:val="Emphasis"/>
                                <w:i w:val="0"/>
                                <w:color w:val="auto"/>
                                <w:sz w:val="18"/>
                              </w:rPr>
                              <w:t>tressor</w:t>
                            </w:r>
                            <w:proofErr w:type="gramEnd"/>
                            <w:r>
                              <w:rPr>
                                <w:rStyle w:val="Emphasis"/>
                                <w:i w:val="0"/>
                                <w:color w:val="auto"/>
                                <w:sz w:val="18"/>
                              </w:rPr>
                              <w:t xml:space="preserve">  in</w:t>
                            </w:r>
                            <w:r w:rsidRPr="00AC2621">
                              <w:rPr>
                                <w:rStyle w:val="Emphasis"/>
                                <w:i w:val="0"/>
                                <w:color w:val="auto"/>
                                <w:sz w:val="18"/>
                              </w:rPr>
                              <w:t>tensity</w:t>
                            </w:r>
                          </w:p>
                          <w:p w14:paraId="39067C8B" w14:textId="77777777" w:rsidR="00074ADD" w:rsidRPr="00AC2621" w:rsidRDefault="00074ADD" w:rsidP="00F111FC">
                            <w:pPr>
                              <w:rPr>
                                <w:sz w:val="18"/>
                              </w:rPr>
                            </w:pPr>
                          </w:p>
                        </w:txbxContent>
                      </v:textbox>
                    </v:shape>
                    <v:oval id="Oval 53" o:spid="_x0000_s1046" style="position:absolute;left:1102360;top:1086485;width:1052035;height:49401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V1xQAA&#10;ANsAAAAPAAAAZHJzL2Rvd25yZXYueG1sRI9Pa8JAFMTvBb/D8gRvdaOtNkZXqaWV0lNjc/H2yL78&#10;wezbkF1j+u27gtDjMDO/YTa7wTSip87VlhXMphEI4tzqmksF2c/HYwzCeWSNjWVS8EsOdtvRwwYT&#10;ba+cUn/0pQgQdgkqqLxvEyldXpFBN7UtcfAK2xn0QXal1B1eA9w0ch5FS2mw5rBQYUtvFeXn48Uo&#10;qL9W8Uvan+L997JPD8U+ks/vmVKT8fC6BuFp8P/he/tTK1g8we1L+AF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75XXFAAAA2wAAAA8AAAAAAAAAAAAAAAAAlwIAAGRycy9k&#10;b3ducmV2LnhtbFBLBQYAAAAABAAEAPUAAACJAwAAAAA=&#10;" fillcolor="#a5d5e2 [1624]" strokecolor="#40a7c2 [3048]">
                      <v:fill color2="#e4f2f6 [504]" rotate="t" colors="0 #9eeaff;22938f #bbefff;1 #e4f9ff" type="gradient"/>
                      <v:shadow on="t" opacity="24903f" mv:blur="40000f" origin=",.5" offset="0,20000emu"/>
                      <v:textbox>
                        <w:txbxContent>
                          <w:p w14:paraId="48E4C486" w14:textId="77777777" w:rsidR="00074ADD" w:rsidRDefault="00074ADD" w:rsidP="00F111FC">
                            <w:pPr>
                              <w:jc w:val="center"/>
                            </w:pPr>
                            <w:r>
                              <w:t>Stressor</w:t>
                            </w:r>
                          </w:p>
                        </w:txbxContent>
                      </v:textbox>
                    </v:oval>
                    <v:oval id="Oval 54" o:spid="_x0000_s1047" style="position:absolute;left:2771775;top:993775;width:1248383;height:7586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n0BxQAA&#10;ANsAAAAPAAAAZHJzL2Rvd25yZXYueG1sRI9Ba8JAFITvQv/D8gq9mU3FpjF1lSptEU/GevH2yD6T&#10;0OzbkN0m6b/vCoLHYWa+YZbr0TSip87VlhU8RzEI4sLqmksFp+/PaQrCeWSNjWVS8EcO1quHyRIz&#10;bQfOqT/6UgQIuwwVVN63mZSuqMigi2xLHLyL7Qz6ILtS6g6HADeNnMVxIg3WHBYqbGlbUfFz/DUK&#10;6v0ifc37c7o5JH3+ddnEcv5xUurpcXx/A+Fp9Pfwrb3TCl7mcP0Sfo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gSfQHFAAAA2wAAAA8AAAAAAAAAAAAAAAAAlwIAAGRycy9k&#10;b3ducmV2LnhtbFBLBQYAAAAABAAEAPUAAACJAwAAAAA=&#10;" fillcolor="#a5d5e2 [1624]" strokecolor="#40a7c2 [3048]">
                      <v:fill color2="#e4f2f6 [504]" rotate="t" colors="0 #9eeaff;22938f #bbefff;1 #e4f9ff" type="gradient"/>
                      <v:shadow on="t" opacity="24903f" mv:blur="40000f" origin=",.5" offset="0,20000emu"/>
                      <v:textbox>
                        <w:txbxContent>
                          <w:p w14:paraId="0B543554" w14:textId="77777777" w:rsidR="00074ADD" w:rsidRPr="0037148F" w:rsidRDefault="00074ADD" w:rsidP="00F111FC">
                            <w:pPr>
                              <w:jc w:val="center"/>
                              <w:rPr>
                                <w:sz w:val="20"/>
                                <w:szCs w:val="16"/>
                              </w:rPr>
                            </w:pPr>
                            <w:r w:rsidRPr="0037148F">
                              <w:rPr>
                                <w:sz w:val="20"/>
                                <w:szCs w:val="16"/>
                              </w:rPr>
                              <w:t>Assessment Endpoint</w:t>
                            </w:r>
                          </w:p>
                        </w:txbxContent>
                      </v:textbox>
                    </v:oval>
                    <v:oval id="Oval 55" o:spid="_x0000_s1048" style="position:absolute;left:2628900;width:1156970;height:678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lBIwwAA&#10;ANsAAAAPAAAAZHJzL2Rvd25yZXYueG1sRI9Pi8IwFMTvC36H8ARva6rgslRTEUH0IKh1Dx6fzesf&#10;bV5qE7V++42wsMdhZn7DzOadqcWDWldZVjAaRiCIM6srLhT8HFef3yCcR9ZYWyYFL3IwT3ofM4y1&#10;ffKBHqkvRICwi1FB6X0TS+mykgy6oW2Ig5fb1qAPsi2kbvEZ4KaW4yj6kgYrDgslNrQsKbumd6Og&#10;zo767C/3fL1Jbwt2++V2d3opNeh3iykIT53/D/+1N1rBZALvL+EHyOQ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lBIwwAAANsAAAAPAAAAAAAAAAAAAAAAAJcCAABkcnMvZG93&#10;bnJldi54bWxQSwUGAAAAAAQABAD1AAAAhwMAAAAA&#10;" fillcolor="#cdddac [1622]" strokecolor="#94b64e [3046]">
                      <v:fill color2="#f0f4e6 [502]" rotate="t" colors="0 #dafda7;22938f #e4fdc2;1 #f5ffe6" type="gradient"/>
                      <v:shadow on="t" opacity="24903f" mv:blur="40000f" origin=",.5" offset="0,20000emu"/>
                      <v:textbox>
                        <w:txbxContent>
                          <w:p w14:paraId="388E9987" w14:textId="77777777" w:rsidR="00074ADD" w:rsidRPr="0037148F" w:rsidRDefault="00074ADD" w:rsidP="00F111FC">
                            <w:pPr>
                              <w:jc w:val="center"/>
                              <w:rPr>
                                <w:sz w:val="20"/>
                                <w:szCs w:val="20"/>
                              </w:rPr>
                            </w:pPr>
                            <w:r w:rsidRPr="0037148F">
                              <w:rPr>
                                <w:sz w:val="20"/>
                                <w:szCs w:val="20"/>
                              </w:rPr>
                              <w:t>Assessment Context</w:t>
                            </w:r>
                          </w:p>
                        </w:txbxContent>
                      </v:textbox>
                    </v:oval>
                    <v:shape id="Straight Arrow Connector 56" o:spid="_x0000_s1049" type="#_x0000_t32" style="position:absolute;left:2153920;top:1344295;width:60987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FBu9sUAAADbAAAADwAAAGRycy9kb3ducmV2LnhtbESPT2sCMRTE7wW/Q3iF3mq2hYqsRmkt&#10;bUWl4p+Dx8fmubu4eQlJuq7f3ghCj8PM/IYZTzvTiJZ8qC0reOlnIIgLq2suFex3X89DECEia2ws&#10;k4ILBZhOeg9jzLU984babSxFgnDIUUEVo8ulDEVFBkPfOuLkHa03GJP0pdQezwluGvmaZQNpsOa0&#10;UKGjWUXFaftnFCxWP7PYZv7iPn9pPXTLj+Phu1Pq6bF7H4GI1MX/8L091wreBnD7kn6AnF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FBu9sUAAADbAAAADwAAAAAAAAAA&#10;AAAAAAChAgAAZHJzL2Rvd25yZXYueG1sUEsFBgAAAAAEAAQA+QAAAJMDAAAAAA==&#10;" strokecolor="#4f81bd [3204]" strokeweight="2pt">
                      <v:stroke endarrow="open"/>
                      <v:shadow on="t" opacity="24903f" mv:blur="40000f" origin=",.5" offset="0,20000emu"/>
                    </v:shape>
                    <v:shape id="Straight Arrow Connector 57" o:spid="_x0000_s1050" type="#_x0000_t32" style="position:absolute;left:914400;top:1143000;width:233680;height:10795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xzLbcUAAADbAAAADwAAAGRycy9kb3ducmV2LnhtbESPQWsCMRSE74L/ITyhN81aaJXVKK2l&#10;rVRp0fbQ42Pz3F3cvIQkXdd/bwqCx2FmvmHmy840oiUfassKxqMMBHFhdc2lgp/v1+EURIjIGhvL&#10;pOBMAZaLfm+OubYn3lG7j6VIEA45KqhidLmUoajIYBhZR5y8g/UGY5K+lNrjKcFNI++z7FEarDkt&#10;VOhoVVFx3P8ZBR/b91VsM392L5/0NXWb58PvW6fU3aB7moGI1MVb+NpeawUPE/j/kn6AXF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xzLbcUAAADbAAAADwAAAAAAAAAA&#10;AAAAAAChAgAAZHJzL2Rvd25yZXYueG1sUEsFBgAAAAAEAAQA+QAAAJMDAAAAAA==&#10;" strokecolor="#4f81bd [3204]" strokeweight="2pt">
                      <v:stroke endarrow="open"/>
                      <v:shadow on="t" opacity="24903f" mv:blur="40000f" origin=",.5" offset="0,20000emu"/>
                    </v:shape>
                    <v:shape id="Straight Arrow Connector 58" o:spid="_x0000_s1051" type="#_x0000_t32" style="position:absolute;left:3771900;top:457200;width:6858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GRecAAAADbAAAADwAAAGRycy9kb3ducmV2LnhtbERPy4rCMBTdD/gP4QruxrSCZahGEUEU&#10;FzP4RHfX5toWm5vSRK1/bxbCLA/nPZ62phIPalxpWUHcj0AQZ1aXnCvY7xbfPyCcR9ZYWSYFL3Iw&#10;nXS+xphq++QNPbY+FyGEXYoKCu/rVEqXFWTQ9W1NHLirbQz6AJtc6gafIdxUchBFiTRYcmgosKZ5&#10;QdltezcKTqtLzL+Y8PVwPC//qFof4ixRqtdtZyMQnlr/L/64V1rBMIwNX8IPkJM3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wxkXnAAAAA2wAAAA8AAAAAAAAAAAAAAAAA&#10;oQIAAGRycy9kb3ducmV2LnhtbFBLBQYAAAAABAAEAPkAAACOAwAAAAA=&#10;" strokecolor="#9bbb59 [3206]" strokeweight="2pt">
                      <v:stroke endarrow="open"/>
                      <v:shadow on="t" opacity="24903f" mv:blur="40000f" origin=",.5" offset="0,20000emu"/>
                    </v:shape>
                    <v:oval id="Oval 59" o:spid="_x0000_s1052" style="position:absolute;left:4229100;top:914400;width:1206500;height:774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E9KfxAAA&#10;ANsAAAAPAAAAZHJzL2Rvd25yZXYueG1sRI9Ba8JAFITvgv9heYK3ulGqxugqWrSUnhr14u2RfSbB&#10;7NuQXWP8991CweMwM98wq01nKtFS40rLCsajCARxZnXJuYLz6fAWg3AeWWNlmRQ8ycFm3e+tMNH2&#10;wSm1R5+LAGGXoILC+zqR0mUFGXQjWxMH72obgz7IJpe6wUeAm0pOomgmDZYcFgqs6aOg7Ha8GwXl&#10;9yKep+0l3v3M2vTzuovk+/6s1HDQbZcgPHX+Ff5vf2kF0wX8fQk/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hPSn8QAAADbAAAADwAAAAAAAAAAAAAAAACXAgAAZHJzL2Rv&#10;d25yZXYueG1sUEsFBgAAAAAEAAQA9QAAAIgDAAAAAA==&#10;" fillcolor="#a5d5e2 [1624]" strokecolor="#40a7c2 [3048]">
                      <v:fill color2="#e4f2f6 [504]" rotate="t" colors="0 #9eeaff;22938f #bbefff;1 #e4f9ff" type="gradient"/>
                      <v:shadow on="t" opacity="24903f" mv:blur="40000f" origin=",.5" offset="0,20000emu"/>
                      <v:textbox>
                        <w:txbxContent>
                          <w:p w14:paraId="51A4AADB" w14:textId="77777777" w:rsidR="00074ADD" w:rsidRDefault="00074ADD" w:rsidP="00F111FC">
                            <w:pPr>
                              <w:jc w:val="center"/>
                            </w:pPr>
                            <w:r>
                              <w:t>Ecosystem Impact</w:t>
                            </w:r>
                          </w:p>
                        </w:txbxContent>
                      </v:textbox>
                    </v:oval>
                    <v:shape id="Text Box 2" o:spid="_x0000_s1053" type="#_x0000_t202" style="position:absolute;left:4000500;top:1371600;width:800100;height:529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XmTwwAA&#10;ANsAAAAPAAAAZHJzL2Rvd25yZXYueG1sRE+7asMwFN0L/QdxC90auRlMcKOEEGjrrXHqUrLdWje2&#10;sXVlLMWPfH00BDoeznu9nUwrBupdbVnB6yICQVxYXXOpIP9+f1mBcB5ZY2uZFMzkYLt5fFhjou3I&#10;GQ1HX4oQwi5BBZX3XSKlKyoy6Ba2Iw7c2fYGfYB9KXWPYwg3rVxGUSwN1hwaKuxoX1HRHC9Gweoz&#10;nT+ya5r/+uHnsPs7fZ2aRir1/DTt3kB4mvy/+O5OtYI4rA9fwg+Qm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zXmTwwAAANsAAAAPAAAAAAAAAAAAAAAAAJcCAABkcnMvZG93&#10;bnJldi54bWxQSwUGAAAAAAQABAD1AAAAhwMAAAAA&#10;" filled="f" stroked="f">
                      <v:textbox inset="2emu">
                        <w:txbxContent>
                          <w:p w14:paraId="353B7318" w14:textId="77777777" w:rsidR="00074ADD" w:rsidRPr="00AC2621" w:rsidRDefault="00074ADD" w:rsidP="00F111FC">
                            <w:pPr>
                              <w:rPr>
                                <w:rStyle w:val="Emphasis"/>
                                <w:i w:val="0"/>
                                <w:color w:val="auto"/>
                                <w:sz w:val="18"/>
                              </w:rPr>
                            </w:pPr>
                            <w:proofErr w:type="gramStart"/>
                            <w:r>
                              <w:rPr>
                                <w:rStyle w:val="Emphasis"/>
                                <w:i w:val="0"/>
                                <w:color w:val="auto"/>
                                <w:sz w:val="18"/>
                              </w:rPr>
                              <w:t>intrinsic</w:t>
                            </w:r>
                            <w:proofErr w:type="gramEnd"/>
                            <w:r>
                              <w:rPr>
                                <w:rStyle w:val="Emphasis"/>
                                <w:i w:val="0"/>
                                <w:color w:val="auto"/>
                                <w:sz w:val="18"/>
                              </w:rPr>
                              <w:t xml:space="preserve"> vulnerability</w:t>
                            </w:r>
                          </w:p>
                          <w:p w14:paraId="44BB29E6" w14:textId="77777777" w:rsidR="00074ADD" w:rsidRPr="00AC2621" w:rsidRDefault="00074ADD" w:rsidP="00F111FC">
                            <w:pPr>
                              <w:rPr>
                                <w:sz w:val="18"/>
                              </w:rPr>
                            </w:pPr>
                          </w:p>
                        </w:txbxContent>
                      </v:textbox>
                    </v:shape>
                    <v:shape id="Text Box 2" o:spid="_x0000_s1054" type="#_x0000_t202" style="position:absolute;left:3665855;top:629285;width:843915;height:535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gMfwwAA&#10;ANsAAAAPAAAAZHJzL2Rvd25yZXYueG1sRI9Ba8JAFITvQv/D8oTezG6kFU2zhmIp9FRRW6G3R/aZ&#10;BLNvQ3Zr0n/fFQSPw8x8w+TFaFtxod43jjWkiQJBXDrTcKXh6/A+W4LwAdlg65g0/JGHYv0wyTEz&#10;buAdXfahEhHCPkMNdQhdJqUva7LoE9cRR+/keoshyr6Spschwm0r50otpMWG40KNHW1qKs/7X6vh&#10;+/P0c3xS2+rNPneDG5Vku5JaP07H1xcQgcZwD9/aH0bDIoXrl/gD5P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ygMfwwAAANsAAAAPAAAAAAAAAAAAAAAAAJcCAABkcnMvZG93&#10;bnJldi54bWxQSwUGAAAAAAQABAD1AAAAhwMAAAAA&#10;" filled="f" stroked="f">
                      <v:textbox>
                        <w:txbxContent>
                          <w:p w14:paraId="5B432FA6" w14:textId="77777777" w:rsidR="00074ADD" w:rsidRPr="009A3468" w:rsidRDefault="00074ADD" w:rsidP="00F111FC">
                            <w:pPr>
                              <w:rPr>
                                <w:rStyle w:val="Emphasis"/>
                                <w:sz w:val="20"/>
                                <w:szCs w:val="20"/>
                              </w:rPr>
                            </w:pPr>
                            <w:proofErr w:type="gramStart"/>
                            <w:r w:rsidRPr="009A3468">
                              <w:rPr>
                                <w:rStyle w:val="Emphasis"/>
                                <w:sz w:val="20"/>
                                <w:szCs w:val="20"/>
                              </w:rPr>
                              <w:t>assessed</w:t>
                            </w:r>
                            <w:proofErr w:type="gramEnd"/>
                            <w:r w:rsidRPr="009A3468">
                              <w:rPr>
                                <w:rStyle w:val="Emphasis"/>
                                <w:sz w:val="20"/>
                                <w:szCs w:val="20"/>
                              </w:rPr>
                              <w:t>, modeled</w:t>
                            </w:r>
                          </w:p>
                        </w:txbxContent>
                      </v:textbox>
                    </v:shape>
                    <v:shape id="Straight Arrow Connector 62" o:spid="_x0000_s1055" type="#_x0000_t32" style="position:absolute;left:3314700;top:685800;width:1143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7VsLsQAAADbAAAADwAAAGRycy9kb3ducmV2LnhtbESPQWvCQBSE74X+h+UVvJlNPIQSs0op&#10;iOKhYtRSb8/sMwlm34bs1sR/3y0Uehxm5hsmX46mFXfqXWNZQRLFIIhLqxuuFBwPq+krCOeRNbaW&#10;ScGDHCwXz085ZtoOvKd74SsRIOwyVFB732VSurImgy6yHXHwrrY36IPsK6l7HALctHIWx6k02HBY&#10;qLGj95rKW/FtFHxtLgl/YMrX0+d5vaN2e0rKVKnJy/g2B+Fp9P/hv/ZGK0hn8Psl/AC5+A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tWwuxAAAANsAAAAPAAAAAAAAAAAA&#10;AAAAAKECAABkcnMvZG93bnJldi54bWxQSwUGAAAAAAQABAD5AAAAkgMAAAAA&#10;" strokecolor="#9bbb59 [3206]" strokeweight="2pt">
                      <v:stroke endarrow="open"/>
                      <v:shadow on="t" opacity="24903f" mv:blur="40000f" origin=",.5" offset="0,20000emu"/>
                    </v:shape>
                    <v:shape id="Straight Arrow Connector 2064" o:spid="_x0000_s1056" type="#_x0000_t32" style="position:absolute;left:1828800;top:571500;width:914400;height:5715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L9OJMYAAADdAAAADwAAAGRycy9kb3ducmV2LnhtbESPQWsCMRSE70L/Q3gFb5ooVuzWKG1p&#10;oRQvrgX19ti87i5uXpZNXNN/3wiCx2FmvmGW62gb0VPna8caJmMFgrhwpuZSw8/uc7QA4QOywcYx&#10;afgjD+vVw2CJmXEX3lKfh1IkCPsMNVQhtJmUvqjIoh+7ljh5v66zGJLsSmk6vCS4beRUqbm0WHNa&#10;qLCl94qKU362Gvbfk+NH3JwUPZXucGye36ifRa2Hj/H1BUSgGO7hW/vLaJiq+Qyub9IT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C/TiTGAAAA3QAAAA8AAAAAAAAA&#10;AAAAAAAAoQIAAGRycy9kb3ducmV2LnhtbFBLBQYAAAAABAAEAPkAAACUAwAAAAA=&#10;" strokecolor="#9bbb59 [3206]" strokeweight="2pt">
                      <v:stroke endarrow="open"/>
                      <v:shadow on="t" opacity="24903f" mv:blur="40000f" origin=",.5" offset="0,20000emu"/>
                    </v:shape>
                  </v:group>
                </v:group>
                <w10:wrap type="through"/>
              </v:group>
            </w:pict>
          </mc:Fallback>
        </mc:AlternateContent>
      </w:r>
      <w:r w:rsidR="001F2647" w:rsidRPr="001F2647">
        <w:rPr>
          <w:noProof/>
        </w:rPr>
        <w:t xml:space="preserve"> </w:t>
      </w:r>
      <w:r w:rsidR="001F2647">
        <w:rPr>
          <w:noProof/>
        </w:rPr>
        <w:t xml:space="preserve">  </w:t>
      </w:r>
    </w:p>
    <w:p w14:paraId="1EDCD456" w14:textId="1D30AC0C" w:rsidR="008B4A4E" w:rsidRDefault="008B4A4E" w:rsidP="005A629B">
      <w:pPr>
        <w:rPr>
          <w:shd w:val="clear" w:color="auto" w:fill="FFFFFF"/>
        </w:rPr>
      </w:pPr>
    </w:p>
    <w:p w14:paraId="48A3BE82" w14:textId="33624393" w:rsidR="001F2647" w:rsidRDefault="001F2647" w:rsidP="00781163">
      <w:pPr>
        <w:widowControl/>
        <w:autoSpaceDE/>
        <w:autoSpaceDN/>
        <w:adjustRightInd/>
        <w:spacing w:before="0" w:after="0"/>
        <w:rPr>
          <w:shd w:val="clear" w:color="auto" w:fill="FFFFFF"/>
        </w:rPr>
      </w:pPr>
    </w:p>
    <w:p w14:paraId="4CD05359" w14:textId="37620200" w:rsidR="001F2647" w:rsidRDefault="001F2647" w:rsidP="00781163">
      <w:pPr>
        <w:widowControl/>
        <w:autoSpaceDE/>
        <w:autoSpaceDN/>
        <w:adjustRightInd/>
        <w:spacing w:before="0" w:after="0"/>
        <w:rPr>
          <w:shd w:val="clear" w:color="auto" w:fill="FFFFFF"/>
        </w:rPr>
      </w:pPr>
    </w:p>
    <w:p w14:paraId="6F1A5A2A" w14:textId="77777777" w:rsidR="001F2647" w:rsidRDefault="001F2647" w:rsidP="00781163">
      <w:pPr>
        <w:widowControl/>
        <w:autoSpaceDE/>
        <w:autoSpaceDN/>
        <w:adjustRightInd/>
        <w:spacing w:before="0" w:after="0"/>
        <w:rPr>
          <w:shd w:val="clear" w:color="auto" w:fill="FFFFFF"/>
        </w:rPr>
      </w:pPr>
    </w:p>
    <w:p w14:paraId="6101FF7B" w14:textId="73B1A7E5" w:rsidR="001F2647" w:rsidRDefault="001F2647" w:rsidP="00781163">
      <w:pPr>
        <w:widowControl/>
        <w:autoSpaceDE/>
        <w:autoSpaceDN/>
        <w:adjustRightInd/>
        <w:spacing w:before="0" w:after="0"/>
        <w:rPr>
          <w:shd w:val="clear" w:color="auto" w:fill="FFFFFF"/>
        </w:rPr>
      </w:pPr>
    </w:p>
    <w:p w14:paraId="24B30633" w14:textId="5E9EC28B" w:rsidR="001F2647" w:rsidRDefault="001F2647" w:rsidP="00781163">
      <w:pPr>
        <w:widowControl/>
        <w:autoSpaceDE/>
        <w:autoSpaceDN/>
        <w:adjustRightInd/>
        <w:spacing w:before="0" w:after="0"/>
        <w:rPr>
          <w:shd w:val="clear" w:color="auto" w:fill="FFFFFF"/>
        </w:rPr>
      </w:pPr>
    </w:p>
    <w:p w14:paraId="03019751" w14:textId="77777777" w:rsidR="001F2647" w:rsidRDefault="001F2647" w:rsidP="00781163">
      <w:pPr>
        <w:widowControl/>
        <w:autoSpaceDE/>
        <w:autoSpaceDN/>
        <w:adjustRightInd/>
        <w:spacing w:before="0" w:after="0"/>
        <w:rPr>
          <w:shd w:val="clear" w:color="auto" w:fill="FFFFFF"/>
        </w:rPr>
      </w:pPr>
    </w:p>
    <w:p w14:paraId="6F16A829" w14:textId="77777777" w:rsidR="001F2647" w:rsidRDefault="001F2647" w:rsidP="00781163">
      <w:pPr>
        <w:widowControl/>
        <w:autoSpaceDE/>
        <w:autoSpaceDN/>
        <w:adjustRightInd/>
        <w:spacing w:before="0" w:after="0"/>
        <w:rPr>
          <w:shd w:val="clear" w:color="auto" w:fill="FFFFFF"/>
        </w:rPr>
      </w:pPr>
    </w:p>
    <w:p w14:paraId="533E0D67" w14:textId="77777777" w:rsidR="001F2647" w:rsidRDefault="001F2647" w:rsidP="00781163">
      <w:pPr>
        <w:widowControl/>
        <w:autoSpaceDE/>
        <w:autoSpaceDN/>
        <w:adjustRightInd/>
        <w:spacing w:before="0" w:after="0"/>
        <w:rPr>
          <w:shd w:val="clear" w:color="auto" w:fill="FFFFFF"/>
        </w:rPr>
      </w:pPr>
    </w:p>
    <w:p w14:paraId="64A2BBA6" w14:textId="77777777" w:rsidR="00721CF6" w:rsidRDefault="00721CF6" w:rsidP="00781163">
      <w:pPr>
        <w:widowControl/>
        <w:autoSpaceDE/>
        <w:autoSpaceDN/>
        <w:adjustRightInd/>
        <w:spacing w:before="0" w:after="0"/>
        <w:rPr>
          <w:shd w:val="clear" w:color="auto" w:fill="FFFFFF"/>
        </w:rPr>
      </w:pPr>
    </w:p>
    <w:p w14:paraId="5205ADA3" w14:textId="77777777" w:rsidR="00721CF6" w:rsidRDefault="00721CF6" w:rsidP="00781163">
      <w:pPr>
        <w:widowControl/>
        <w:autoSpaceDE/>
        <w:autoSpaceDN/>
        <w:adjustRightInd/>
        <w:spacing w:before="0" w:after="0"/>
        <w:rPr>
          <w:shd w:val="clear" w:color="auto" w:fill="FFFFFF"/>
        </w:rPr>
      </w:pPr>
    </w:p>
    <w:p w14:paraId="302763CE" w14:textId="1C2E01B6" w:rsidR="00A47F4B" w:rsidRDefault="00781163" w:rsidP="00781163">
      <w:pPr>
        <w:widowControl/>
        <w:autoSpaceDE/>
        <w:autoSpaceDN/>
        <w:adjustRightInd/>
        <w:spacing w:before="0" w:after="0"/>
        <w:rPr>
          <w:shd w:val="clear" w:color="auto" w:fill="FFFFFF"/>
        </w:rPr>
      </w:pPr>
      <w:r>
        <w:rPr>
          <w:shd w:val="clear" w:color="auto" w:fill="FFFFFF"/>
        </w:rPr>
        <w:t xml:space="preserve">The move from individual risk to ecological risk requires a change in thinking, from </w:t>
      </w:r>
      <w:r w:rsidRPr="00BF303B">
        <w:rPr>
          <w:shd w:val="clear" w:color="auto" w:fill="FFFFFF"/>
        </w:rPr>
        <w:t xml:space="preserve">sensitivity at the individual organism level to vulnerability </w:t>
      </w:r>
      <w:r>
        <w:rPr>
          <w:shd w:val="clear" w:color="auto" w:fill="FFFFFF"/>
        </w:rPr>
        <w:t xml:space="preserve">at higher </w:t>
      </w:r>
      <w:r w:rsidRPr="00BF303B">
        <w:rPr>
          <w:shd w:val="clear" w:color="auto" w:fill="FFFFFF"/>
        </w:rPr>
        <w:t>organization levels (</w:t>
      </w:r>
      <w:proofErr w:type="spellStart"/>
      <w:r>
        <w:rPr>
          <w:shd w:val="clear" w:color="auto" w:fill="FFFFFF"/>
        </w:rPr>
        <w:t>Suter</w:t>
      </w:r>
      <w:proofErr w:type="spellEnd"/>
      <w:r>
        <w:rPr>
          <w:shd w:val="clear" w:color="auto" w:fill="FFFFFF"/>
        </w:rPr>
        <w:t>, 2007).  There is a significant literature exploring the theoretical foundations of the extrapolation from individual to ecosystem effects within the ecological risk assessment paradigm (</w:t>
      </w:r>
      <w:r w:rsidR="008715CF">
        <w:rPr>
          <w:shd w:val="clear" w:color="auto" w:fill="FFFFFF"/>
        </w:rPr>
        <w:t xml:space="preserve">e.g., </w:t>
      </w:r>
      <w:proofErr w:type="spellStart"/>
      <w:r>
        <w:rPr>
          <w:shd w:val="clear" w:color="auto" w:fill="FFFFFF"/>
        </w:rPr>
        <w:t>Hunsaker</w:t>
      </w:r>
      <w:proofErr w:type="spellEnd"/>
      <w:r>
        <w:rPr>
          <w:shd w:val="clear" w:color="auto" w:fill="FFFFFF"/>
        </w:rPr>
        <w:t xml:space="preserve"> et al., 1990; </w:t>
      </w:r>
      <w:r>
        <w:t xml:space="preserve">Landis and </w:t>
      </w:r>
      <w:proofErr w:type="spellStart"/>
      <w:r>
        <w:t>Wiegers</w:t>
      </w:r>
      <w:proofErr w:type="spellEnd"/>
      <w:r>
        <w:t xml:space="preserve">, 1997; </w:t>
      </w:r>
      <w:proofErr w:type="spellStart"/>
      <w:r w:rsidR="0018416C">
        <w:t>Suter</w:t>
      </w:r>
      <w:proofErr w:type="spellEnd"/>
      <w:r w:rsidR="0018416C">
        <w:t xml:space="preserve"> et al., 2005; </w:t>
      </w:r>
      <w:proofErr w:type="spellStart"/>
      <w:r w:rsidR="0018416C">
        <w:t>Suter</w:t>
      </w:r>
      <w:proofErr w:type="spellEnd"/>
      <w:r>
        <w:t>, 2007</w:t>
      </w:r>
      <w:r w:rsidR="00B72FA7">
        <w:t>, and references cited within</w:t>
      </w:r>
      <w:r w:rsidR="008715CF">
        <w:t>; De Lange, 2010</w:t>
      </w:r>
      <w:r>
        <w:t>). Within</w:t>
      </w:r>
      <w:r w:rsidR="00B72FA7">
        <w:t xml:space="preserve"> the ecological risk assessment framework</w:t>
      </w:r>
      <w:r>
        <w:t xml:space="preserve"> and within the concept of ecological vulnerability in particular, capturing the essential biological and ecological characteristics of the ecosystem or ecosystem components at risk is considered an integral step.  De Lange et al. (2010) describe </w:t>
      </w:r>
      <w:r>
        <w:rPr>
          <w:shd w:val="clear" w:color="auto" w:fill="FFFFFF"/>
        </w:rPr>
        <w:t>d</w:t>
      </w:r>
      <w:r w:rsidRPr="00AD6131">
        <w:rPr>
          <w:shd w:val="clear" w:color="auto" w:fill="FFFFFF"/>
        </w:rPr>
        <w:t xml:space="preserve">ifferent vulnerability </w:t>
      </w:r>
      <w:r w:rsidRPr="00AD6131">
        <w:rPr>
          <w:shd w:val="clear" w:color="auto" w:fill="FFFFFF"/>
        </w:rPr>
        <w:lastRenderedPageBreak/>
        <w:t xml:space="preserve">analysis methods developed for </w:t>
      </w:r>
      <w:r>
        <w:rPr>
          <w:shd w:val="clear" w:color="auto" w:fill="FFFFFF"/>
        </w:rPr>
        <w:t>single-species populations</w:t>
      </w:r>
      <w:r w:rsidRPr="00AD6131">
        <w:rPr>
          <w:shd w:val="clear" w:color="auto" w:fill="FFFFFF"/>
        </w:rPr>
        <w:t>, communities (</w:t>
      </w:r>
      <w:r>
        <w:rPr>
          <w:shd w:val="clear" w:color="auto" w:fill="FFFFFF"/>
        </w:rPr>
        <w:t>populations of multiple species</w:t>
      </w:r>
      <w:r w:rsidRPr="00AD6131">
        <w:rPr>
          <w:shd w:val="clear" w:color="auto" w:fill="FFFFFF"/>
        </w:rPr>
        <w:t>) and ec</w:t>
      </w:r>
      <w:r>
        <w:rPr>
          <w:shd w:val="clear" w:color="auto" w:fill="FFFFFF"/>
        </w:rPr>
        <w:t xml:space="preserve">osystems (both communities and habitats), as well as </w:t>
      </w:r>
      <w:r w:rsidRPr="00AD6131">
        <w:rPr>
          <w:shd w:val="clear" w:color="auto" w:fill="FFFFFF"/>
        </w:rPr>
        <w:t xml:space="preserve">examples of methods developed for socio-ecological systems. </w:t>
      </w:r>
      <w:r>
        <w:rPr>
          <w:shd w:val="clear" w:color="auto" w:fill="FFFFFF"/>
        </w:rPr>
        <w:t>As De Lange et al. (2010) notes, all of these methods tend to share certain defining aspects, including</w:t>
      </w:r>
      <w:r w:rsidRPr="00AD6131">
        <w:rPr>
          <w:shd w:val="clear" w:color="auto" w:fill="FFFFFF"/>
        </w:rPr>
        <w:t xml:space="preserve"> the use of expert judgment, </w:t>
      </w:r>
      <w:r>
        <w:rPr>
          <w:shd w:val="clear" w:color="auto" w:fill="FFFFFF"/>
        </w:rPr>
        <w:t>stakeholder consultations or other inputs</w:t>
      </w:r>
      <w:r w:rsidRPr="00AD6131">
        <w:rPr>
          <w:shd w:val="clear" w:color="auto" w:fill="FFFFFF"/>
        </w:rPr>
        <w:t xml:space="preserve">, </w:t>
      </w:r>
      <w:r>
        <w:rPr>
          <w:shd w:val="clear" w:color="auto" w:fill="FFFFFF"/>
        </w:rPr>
        <w:t xml:space="preserve">pressure/threat </w:t>
      </w:r>
      <w:r w:rsidRPr="00AD6131">
        <w:rPr>
          <w:shd w:val="clear" w:color="auto" w:fill="FFFFFF"/>
        </w:rPr>
        <w:t>ranking</w:t>
      </w:r>
      <w:r>
        <w:rPr>
          <w:shd w:val="clear" w:color="auto" w:fill="FFFFFF"/>
        </w:rPr>
        <w:t>s</w:t>
      </w:r>
      <w:r w:rsidRPr="00AD6131">
        <w:rPr>
          <w:shd w:val="clear" w:color="auto" w:fill="FFFFFF"/>
        </w:rPr>
        <w:t xml:space="preserve"> and</w:t>
      </w:r>
      <w:r>
        <w:rPr>
          <w:shd w:val="clear" w:color="auto" w:fill="FFFFFF"/>
        </w:rPr>
        <w:t xml:space="preserve"> mappings, and results of a necessarily </w:t>
      </w:r>
      <w:r w:rsidR="008715CF">
        <w:rPr>
          <w:shd w:val="clear" w:color="auto" w:fill="FFFFFF"/>
        </w:rPr>
        <w:t>relative</w:t>
      </w:r>
      <w:r>
        <w:rPr>
          <w:shd w:val="clear" w:color="auto" w:fill="FFFFFF"/>
        </w:rPr>
        <w:t xml:space="preserve"> nature</w:t>
      </w:r>
      <w:r w:rsidRPr="00AD6131">
        <w:rPr>
          <w:shd w:val="clear" w:color="auto" w:fill="FFFFFF"/>
        </w:rPr>
        <w:t>.</w:t>
      </w:r>
      <w:r w:rsidR="00B72FA7">
        <w:rPr>
          <w:shd w:val="clear" w:color="auto" w:fill="FFFFFF"/>
        </w:rPr>
        <w:t xml:space="preserve">  We discuss these</w:t>
      </w:r>
      <w:r w:rsidR="00F94F9A">
        <w:rPr>
          <w:shd w:val="clear" w:color="auto" w:fill="FFFFFF"/>
        </w:rPr>
        <w:t xml:space="preserve"> issues further in the “ecological vulnerability approaches” part of Section 2.</w:t>
      </w:r>
      <w:r w:rsidR="00DC1A13">
        <w:rPr>
          <w:shd w:val="clear" w:color="auto" w:fill="FFFFFF"/>
        </w:rPr>
        <w:t xml:space="preserve">  The essential connection to make is that, within the pressures assessment methodology, the intrinsic ecosystem vulnerability concept is analogous to “sensitivity” and the stressor intensity/endpoint joint assessment is analogous to “exposure”</w:t>
      </w:r>
      <w:r w:rsidR="00943A9C">
        <w:rPr>
          <w:shd w:val="clear" w:color="auto" w:fill="FFFFFF"/>
        </w:rPr>
        <w:t xml:space="preserve"> (Figure 2, Figure 3)</w:t>
      </w:r>
      <w:r w:rsidR="00DC1A13">
        <w:rPr>
          <w:shd w:val="clear" w:color="auto" w:fill="FFFFFF"/>
        </w:rPr>
        <w:t>.</w:t>
      </w:r>
      <w:r w:rsidR="00F111FC">
        <w:rPr>
          <w:shd w:val="clear" w:color="auto" w:fill="FFFFFF"/>
        </w:rPr>
        <w:t xml:space="preserve">  Note that the structure of Figure 3 was chosen to highlight the analogies between the terminology used in traditional risk assessment and the pressures assessment framework.  When modeling ecosystem impacts using intrinsic vulnerability, stressor intensity, and endpoints, a somewhat different model structure is used (cf. Figure 5).</w:t>
      </w:r>
    </w:p>
    <w:p w14:paraId="37B8B27A" w14:textId="40912CED" w:rsidR="00CA4464" w:rsidRDefault="00CA4464" w:rsidP="00CA4464">
      <w:pPr>
        <w:pStyle w:val="Heading4"/>
      </w:pPr>
      <w:r>
        <w:t>Pressures taxonomy developed by the Puget Sound Partnership</w:t>
      </w:r>
      <w:r w:rsidR="0059472D">
        <w:t xml:space="preserve"> (PSP)</w:t>
      </w:r>
    </w:p>
    <w:p w14:paraId="3C728096" w14:textId="612EE4A6" w:rsidR="00CA4464" w:rsidRDefault="007230B6" w:rsidP="00CA4464">
      <w:pPr>
        <w:spacing w:before="0" w:after="0"/>
      </w:pPr>
      <w:r>
        <w:t xml:space="preserve">In recent years, the Puget Sound Partnership has drafted a taxonomy of the pressures </w:t>
      </w:r>
      <w:r w:rsidRPr="00730CBA">
        <w:rPr>
          <w:shd w:val="clear" w:color="auto" w:fill="FFFFFF"/>
        </w:rPr>
        <w:t>considered to be those most directly in</w:t>
      </w:r>
      <w:r>
        <w:rPr>
          <w:shd w:val="clear" w:color="auto" w:fill="FFFFFF"/>
        </w:rPr>
        <w:t>fluencing Puget Sound ecosystem</w:t>
      </w:r>
      <w:r w:rsidRPr="00730CBA">
        <w:rPr>
          <w:shd w:val="clear" w:color="auto" w:fill="FFFFFF"/>
        </w:rPr>
        <w:t xml:space="preserve">s and human </w:t>
      </w:r>
      <w:r w:rsidR="00FD688F">
        <w:rPr>
          <w:shd w:val="clear" w:color="auto" w:fill="FFFFFF"/>
        </w:rPr>
        <w:t>wellbeing</w:t>
      </w:r>
      <w:r>
        <w:rPr>
          <w:shd w:val="clear" w:color="auto" w:fill="FFFFFF"/>
        </w:rPr>
        <w:t xml:space="preserve"> </w:t>
      </w:r>
      <w:r>
        <w:t>(Stiles et al., 2013)</w:t>
      </w:r>
      <w:r w:rsidRPr="00730CBA">
        <w:rPr>
          <w:shd w:val="clear" w:color="auto" w:fill="FFFFFF"/>
        </w:rPr>
        <w:t>.</w:t>
      </w:r>
      <w:r w:rsidRPr="00730CBA">
        <w:rPr>
          <w:color w:val="auto"/>
          <w:sz w:val="20"/>
          <w:szCs w:val="20"/>
        </w:rPr>
        <w:t xml:space="preserve"> </w:t>
      </w:r>
      <w:r w:rsidR="00CA4464" w:rsidRPr="00904407">
        <w:t>Most of the pressures in the PSP taxonomy</w:t>
      </w:r>
      <w:r w:rsidR="00B61D34">
        <w:t xml:space="preserve"> </w:t>
      </w:r>
      <w:r w:rsidR="00CA4464" w:rsidRPr="00904407">
        <w:t>represent sources of stress (</w:t>
      </w:r>
      <w:r w:rsidR="00760182">
        <w:t>for example,</w:t>
      </w:r>
      <w:r w:rsidR="00CA4464" w:rsidRPr="00904407">
        <w:t xml:space="preserve"> </w:t>
      </w:r>
      <w:r w:rsidR="00760182">
        <w:t xml:space="preserve">land </w:t>
      </w:r>
      <w:r w:rsidR="00CA4464" w:rsidRPr="00904407">
        <w:t>development</w:t>
      </w:r>
      <w:r w:rsidR="00760182">
        <w:t xml:space="preserve"> or marine shoreline modifications</w:t>
      </w:r>
      <w:r w:rsidR="00CA4464" w:rsidRPr="00904407">
        <w:t xml:space="preserve">) that act on ecosystems via one or more stressors (e.g. </w:t>
      </w:r>
      <w:r w:rsidR="00760182">
        <w:t>habitat</w:t>
      </w:r>
      <w:r w:rsidR="00CA4464" w:rsidRPr="00904407">
        <w:t xml:space="preserve"> conversion or </w:t>
      </w:r>
      <w:r w:rsidR="00B61D34">
        <w:t xml:space="preserve">barriers to </w:t>
      </w:r>
      <w:r w:rsidR="00760182">
        <w:t xml:space="preserve">sediment </w:t>
      </w:r>
      <w:r w:rsidR="00B61D34">
        <w:t>delivery</w:t>
      </w:r>
      <w:r w:rsidR="00CA4464" w:rsidRPr="00904407">
        <w:t xml:space="preserve">). In a few cases, the pressure class </w:t>
      </w:r>
      <w:r w:rsidR="00B61D34">
        <w:t>is synonymous to</w:t>
      </w:r>
      <w:r w:rsidR="00CA4464" w:rsidRPr="00904407">
        <w:t xml:space="preserve"> a stressor (e.g.</w:t>
      </w:r>
      <w:r w:rsidR="00B61D34">
        <w:t>,</w:t>
      </w:r>
      <w:r w:rsidR="00CA4464" w:rsidRPr="00904407">
        <w:t xml:space="preserve"> derelict fishing gear). </w:t>
      </w:r>
      <w:r w:rsidR="00CA4464">
        <w:t>The</w:t>
      </w:r>
      <w:r w:rsidR="00CA4464" w:rsidRPr="00904407">
        <w:t xml:space="preserve"> elements of the pressure taxonomy - sources, stressors, mechanisms and the resulting ecological impacts, or stresses </w:t>
      </w:r>
      <w:r w:rsidR="00B61D34">
        <w:t>–</w:t>
      </w:r>
      <w:r w:rsidR="00CA4464" w:rsidRPr="00904407">
        <w:t xml:space="preserve"> </w:t>
      </w:r>
      <w:r w:rsidR="00B61D34">
        <w:t xml:space="preserve">are defined briefly here, but the reader is directed to the </w:t>
      </w:r>
      <w:r w:rsidR="00CF106B">
        <w:t xml:space="preserve">pressures taxonomy </w:t>
      </w:r>
      <w:r w:rsidR="00B61D34">
        <w:t>documentation for detailed information</w:t>
      </w:r>
      <w:r w:rsidR="00F76CA8">
        <w:t xml:space="preserve"> (Stiles et al., 2013)</w:t>
      </w:r>
      <w:r w:rsidR="00B61D34">
        <w:t>.</w:t>
      </w:r>
      <w:r w:rsidR="002A5BC9">
        <w:t xml:space="preserve">  Specific examples of relevant pressure classes and stressors </w:t>
      </w:r>
      <w:r w:rsidR="00567464">
        <w:t xml:space="preserve">that will be considered in the proposed assessment </w:t>
      </w:r>
      <w:r w:rsidR="002A5BC9">
        <w:t>are provided in Section 3.</w:t>
      </w:r>
    </w:p>
    <w:p w14:paraId="0FBBDB74" w14:textId="3A832E42" w:rsidR="00CA4464" w:rsidRDefault="00B61D34" w:rsidP="00CA4464">
      <w:r>
        <w:t>Pressures</w:t>
      </w:r>
      <w:r w:rsidR="00CA4464" w:rsidRPr="00274DC0">
        <w:t xml:space="preserve"> act on</w:t>
      </w:r>
      <w:r w:rsidR="00CE61B5">
        <w:t xml:space="preserve"> </w:t>
      </w:r>
      <w:r w:rsidR="00CA4464" w:rsidRPr="00274DC0">
        <w:t>Puget S</w:t>
      </w:r>
      <w:r w:rsidR="00CA4464">
        <w:t xml:space="preserve">ound ecosystem components via one or more </w:t>
      </w:r>
      <w:r w:rsidR="00CE61B5">
        <w:t xml:space="preserve">associated </w:t>
      </w:r>
      <w:r w:rsidR="00CA4464">
        <w:t>s</w:t>
      </w:r>
      <w:r w:rsidR="00CA4464" w:rsidRPr="00274DC0">
        <w:t>tressors</w:t>
      </w:r>
      <w:r w:rsidR="00CA4464">
        <w:t xml:space="preserve">.  </w:t>
      </w:r>
      <w:r w:rsidR="00CF106B">
        <w:t>Within the PSP pressures taxonomy terminology, s</w:t>
      </w:r>
      <w:r w:rsidR="00CA4464">
        <w:t xml:space="preserve">tressors can also be thought of as the most proximal </w:t>
      </w:r>
      <w:r w:rsidR="004E2B52">
        <w:t>causes</w:t>
      </w:r>
      <w:r w:rsidR="00CF106B">
        <w:t xml:space="preserve"> of ecosystem change</w:t>
      </w:r>
      <w:r w:rsidR="00CE61B5">
        <w:t xml:space="preserve">.  For example, </w:t>
      </w:r>
      <w:r w:rsidR="00CA4464">
        <w:t xml:space="preserve">specific </w:t>
      </w:r>
      <w:r w:rsidR="00CF106B">
        <w:t>structural changes</w:t>
      </w:r>
      <w:r w:rsidR="00CE61B5">
        <w:rPr>
          <w:rStyle w:val="FootnoteReference"/>
        </w:rPr>
        <w:footnoteReference w:id="4"/>
      </w:r>
      <w:r w:rsidR="00CA4464">
        <w:t xml:space="preserve">, </w:t>
      </w:r>
      <w:r w:rsidR="00CF106B">
        <w:t>contaminant flows,</w:t>
      </w:r>
      <w:r w:rsidR="00CA4464">
        <w:t xml:space="preserve"> and </w:t>
      </w:r>
      <w:r w:rsidR="00CF106B">
        <w:t xml:space="preserve">other process modifications and human </w:t>
      </w:r>
      <w:r w:rsidR="00CA4464">
        <w:t xml:space="preserve">activities that directly impact habitats, species and people. </w:t>
      </w:r>
    </w:p>
    <w:p w14:paraId="5C9D5039" w14:textId="34DD5954" w:rsidR="00CA4464" w:rsidRDefault="00CA4464" w:rsidP="002A5BC9">
      <w:pPr>
        <w:spacing w:before="0" w:after="0"/>
      </w:pPr>
      <w:r>
        <w:t>Stressors act on species, habitats and ecological processes via primary mechanisms of action: 1) direct reduction of species fecundity or survival, 2) habitat destruction, or 3) habitat degradation and fragmentation (</w:t>
      </w:r>
      <w:proofErr w:type="spellStart"/>
      <w:r>
        <w:t>Balmford</w:t>
      </w:r>
      <w:proofErr w:type="spellEnd"/>
      <w:r>
        <w:t xml:space="preserve"> et al 2008). </w:t>
      </w:r>
      <w:r w:rsidR="00F76CA8">
        <w:t xml:space="preserve"> We note that these primary mechanisms encompass a broad range of biophysical, chemical, and hydrological structural and process-related changes</w:t>
      </w:r>
      <w:r w:rsidR="00103F40">
        <w:t>.</w:t>
      </w:r>
      <w:r w:rsidR="00F76CA8">
        <w:t xml:space="preserve">  </w:t>
      </w:r>
      <w:r>
        <w:t>Mechanisms of action can also be thought of as descriptors of the relationship between a stressor and an ecosystem component or attribute of interest.</w:t>
      </w:r>
      <w:r w:rsidR="002A5BC9">
        <w:t xml:space="preserve"> </w:t>
      </w:r>
      <w:r w:rsidR="002A5BC9">
        <w:rPr>
          <w:rFonts w:eastAsiaTheme="minorEastAsia" w:cstheme="minorBidi"/>
          <w:color w:val="auto"/>
        </w:rPr>
        <w:t>“Stresses” refers to the ecological effects, or ultimate impacts, of a stressor on an ecosystem or species</w:t>
      </w:r>
      <w:r w:rsidR="004E2B52">
        <w:rPr>
          <w:rFonts w:eastAsiaTheme="minorEastAsia" w:cstheme="minorBidi"/>
          <w:color w:val="auto"/>
        </w:rPr>
        <w:t xml:space="preserve">, following the terminology of </w:t>
      </w:r>
      <w:r w:rsidR="00567464">
        <w:rPr>
          <w:rFonts w:eastAsiaTheme="minorEastAsia" w:cstheme="minorBidi"/>
          <w:color w:val="auto"/>
        </w:rPr>
        <w:t>Stiles et al</w:t>
      </w:r>
      <w:r w:rsidR="004E2B52">
        <w:rPr>
          <w:rFonts w:eastAsiaTheme="minorEastAsia" w:cstheme="minorBidi"/>
          <w:color w:val="auto"/>
        </w:rPr>
        <w:t>. (2</w:t>
      </w:r>
      <w:r w:rsidR="00567464">
        <w:rPr>
          <w:rFonts w:eastAsiaTheme="minorEastAsia" w:cstheme="minorBidi"/>
          <w:color w:val="auto"/>
        </w:rPr>
        <w:t>013)</w:t>
      </w:r>
      <w:r w:rsidR="002A5BC9">
        <w:rPr>
          <w:rFonts w:eastAsiaTheme="minorEastAsia" w:cstheme="minorBidi"/>
          <w:color w:val="auto"/>
        </w:rPr>
        <w:t>.</w:t>
      </w:r>
    </w:p>
    <w:p w14:paraId="1FA03C82" w14:textId="345B82D0" w:rsidR="00117391" w:rsidRDefault="00117391" w:rsidP="00117391">
      <w:r>
        <w:t xml:space="preserve">We note that </w:t>
      </w:r>
      <w:r w:rsidRPr="00AE113E">
        <w:t>human activities that</w:t>
      </w:r>
      <w:r>
        <w:t xml:space="preserve"> are classified as “pressures” </w:t>
      </w:r>
      <w:r w:rsidRPr="00AE113E">
        <w:t>may also contribute positively to hum</w:t>
      </w:r>
      <w:r>
        <w:t xml:space="preserve">an </w:t>
      </w:r>
      <w:r>
        <w:lastRenderedPageBreak/>
        <w:t>wellbeing (</w:t>
      </w:r>
      <w:proofErr w:type="spellStart"/>
      <w:r>
        <w:t>Schnei</w:t>
      </w:r>
      <w:r w:rsidR="00F76CA8">
        <w:t>dler</w:t>
      </w:r>
      <w:proofErr w:type="spellEnd"/>
      <w:r w:rsidR="00F76CA8">
        <w:t xml:space="preserve"> and Plummer, 2009; Figure </w:t>
      </w:r>
      <w:r>
        <w:t>4)</w:t>
      </w:r>
      <w:r w:rsidRPr="00AE113E">
        <w:t xml:space="preserve">. </w:t>
      </w:r>
      <w:r>
        <w:t xml:space="preserve"> A common example of a pressure is</w:t>
      </w:r>
      <w:r w:rsidRPr="00AE113E">
        <w:t xml:space="preserve"> shoreline hardening</w:t>
      </w:r>
      <w:r>
        <w:t>, which</w:t>
      </w:r>
      <w:r w:rsidRPr="00AE113E">
        <w:t xml:space="preserve"> has negative physical and biological impacts </w:t>
      </w:r>
      <w:r>
        <w:t xml:space="preserve">related to </w:t>
      </w:r>
      <w:r w:rsidRPr="00AE113E">
        <w:t xml:space="preserve">the loss </w:t>
      </w:r>
      <w:r>
        <w:t>of</w:t>
      </w:r>
      <w:r w:rsidR="00567464">
        <w:t xml:space="preserve"> sediment supply to beaches, potentially impacting </w:t>
      </w:r>
      <w:r>
        <w:t xml:space="preserve">nearshore habitat formation and maintenance (Shipman et al., 2010).  However, shoreline hardening (armoring) also may be perceived as being beneficial to </w:t>
      </w:r>
      <w:r w:rsidRPr="00AE113E">
        <w:t>human wellbeing</w:t>
      </w:r>
      <w:r>
        <w:t xml:space="preserve">, since personal property may be protected.  </w:t>
      </w:r>
    </w:p>
    <w:p w14:paraId="2DDE7D03" w14:textId="77777777" w:rsidR="00F76CA8" w:rsidRDefault="00F76CA8" w:rsidP="00117391"/>
    <w:p w14:paraId="4B6EAD3D" w14:textId="7714502D" w:rsidR="00F76CA8" w:rsidRDefault="008A4183" w:rsidP="00117391">
      <w:r>
        <w:rPr>
          <w:noProof/>
        </w:rPr>
        <w:drawing>
          <wp:inline distT="0" distB="0" distL="0" distR="0" wp14:anchorId="6154CC9A" wp14:editId="0D3A0C56">
            <wp:extent cx="5486400" cy="4416552"/>
            <wp:effectExtent l="0" t="0" r="0" b="317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416552"/>
                    </a:xfrm>
                    <a:prstGeom prst="rect">
                      <a:avLst/>
                    </a:prstGeom>
                    <a:noFill/>
                  </pic:spPr>
                </pic:pic>
              </a:graphicData>
            </a:graphic>
          </wp:inline>
        </w:drawing>
      </w:r>
    </w:p>
    <w:p w14:paraId="613E0185" w14:textId="77118B27" w:rsidR="00117391" w:rsidRDefault="00117391" w:rsidP="00117391">
      <w:pPr>
        <w:keepNext/>
      </w:pPr>
    </w:p>
    <w:p w14:paraId="22CD314C" w14:textId="1DD4E195" w:rsidR="00117391" w:rsidRDefault="00117391" w:rsidP="00117391">
      <w:pPr>
        <w:pStyle w:val="Caption"/>
      </w:pPr>
      <w:r>
        <w:t xml:space="preserve">Figure </w:t>
      </w:r>
      <w:r w:rsidR="00F76CA8">
        <w:t>4</w:t>
      </w:r>
      <w:r>
        <w:t xml:space="preserve">. Human activities as pressures and as drivers of human </w:t>
      </w:r>
      <w:r w:rsidR="00FD688F">
        <w:t>wellbeing</w:t>
      </w:r>
      <w:r>
        <w:t xml:space="preserve"> (adapted from </w:t>
      </w:r>
      <w:proofErr w:type="spellStart"/>
      <w:r>
        <w:t>Schneidler</w:t>
      </w:r>
      <w:proofErr w:type="spellEnd"/>
      <w:r>
        <w:t xml:space="preserve"> and Plummer, 2009).</w:t>
      </w:r>
    </w:p>
    <w:p w14:paraId="67576A91" w14:textId="77777777" w:rsidR="00117391" w:rsidRDefault="00117391" w:rsidP="00CA4464">
      <w:pPr>
        <w:spacing w:before="0" w:after="0"/>
        <w:rPr>
          <w:rFonts w:eastAsiaTheme="minorEastAsia" w:cstheme="minorBidi"/>
          <w:color w:val="auto"/>
        </w:rPr>
      </w:pPr>
    </w:p>
    <w:p w14:paraId="211AF46F" w14:textId="77777777" w:rsidR="008A4183" w:rsidRDefault="008A4183" w:rsidP="00023DD9">
      <w:pPr>
        <w:pStyle w:val="Heading3"/>
        <w:sectPr w:rsidR="008A4183" w:rsidSect="005A55FE">
          <w:pgSz w:w="12240" w:h="15840"/>
          <w:pgMar w:top="1440" w:right="1440" w:bottom="1440" w:left="1440" w:header="720" w:footer="720" w:gutter="0"/>
          <w:cols w:space="720"/>
          <w:titlePg/>
          <w:docGrid w:linePitch="360"/>
        </w:sectPr>
      </w:pPr>
      <w:bookmarkStart w:id="6" w:name="_Toc256149258"/>
    </w:p>
    <w:p w14:paraId="21874494" w14:textId="25A76002" w:rsidR="00246495" w:rsidRDefault="00246495" w:rsidP="00023DD9">
      <w:pPr>
        <w:pStyle w:val="Heading3"/>
      </w:pPr>
      <w:r>
        <w:lastRenderedPageBreak/>
        <w:t>Mapping pressures</w:t>
      </w:r>
      <w:r w:rsidR="00013C3D">
        <w:t>, stressors,</w:t>
      </w:r>
      <w:r>
        <w:t xml:space="preserve"> and impacts</w:t>
      </w:r>
      <w:bookmarkEnd w:id="6"/>
    </w:p>
    <w:p w14:paraId="10BE2FA0" w14:textId="6713088C" w:rsidR="00013C3D" w:rsidRDefault="00013C3D" w:rsidP="00013C3D">
      <w:r>
        <w:rPr>
          <w:color w:val="auto"/>
        </w:rPr>
        <w:t xml:space="preserve">The pressures assessment distinguishes between </w:t>
      </w:r>
      <w:r w:rsidR="00DA784D">
        <w:rPr>
          <w:color w:val="auto"/>
        </w:rPr>
        <w:t xml:space="preserve">intrinsic ecosystem vulnerability, stressor intensity and (spatial) distribution, and assessment endpoint distribution, </w:t>
      </w:r>
      <w:r>
        <w:rPr>
          <w:color w:val="auto"/>
        </w:rPr>
        <w:t>three distinct aspects of relating pressures and stressors to ecosystem impacts</w:t>
      </w:r>
      <w:r w:rsidR="00DA784D">
        <w:rPr>
          <w:color w:val="auto"/>
        </w:rPr>
        <w:t xml:space="preserve">.  This distinction is </w:t>
      </w:r>
      <w:r>
        <w:rPr>
          <w:color w:val="auto"/>
        </w:rPr>
        <w:t xml:space="preserve">based on a simple conceptual model that underlies the Vulnerability of Marine Ecosystems (VME) approach to mapping marine pressures and potential impacts </w:t>
      </w:r>
      <w:r>
        <w:t>(adapted from Halpern et al, 2008</w:t>
      </w:r>
      <w:r w:rsidR="00DA784D">
        <w:t xml:space="preserve"> and HELCOM, 2010</w:t>
      </w:r>
      <w:r>
        <w:t>):</w:t>
      </w:r>
    </w:p>
    <w:p w14:paraId="6B35B9DB" w14:textId="77777777" w:rsidR="00013C3D" w:rsidRPr="000D47FD" w:rsidRDefault="0053246D" w:rsidP="00013C3D">
      <w:pPr>
        <w:ind w:left="360"/>
      </w:pPr>
      <m:oMath>
        <m:sSub>
          <m:sSubPr>
            <m:ctrlPr>
              <w:rPr>
                <w:rFonts w:ascii="Cambria Math" w:hAnsi="Cambria Math"/>
                <w:i/>
                <w:iCs/>
              </w:rPr>
            </m:ctrlPr>
          </m:sSubPr>
          <m:e>
            <m:r>
              <w:rPr>
                <w:rFonts w:ascii="Cambria Math" w:hAnsi="Cambria Math"/>
              </w:rPr>
              <m:t>I</m:t>
            </m:r>
          </m:e>
          <m:sub>
            <m:r>
              <w:rPr>
                <w:rFonts w:ascii="Cambria Math" w:hAnsi="Cambria Math"/>
              </w:rPr>
              <m:t>c</m:t>
            </m:r>
          </m:sub>
        </m:sSub>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m</m:t>
            </m:r>
          </m:den>
        </m:f>
        <m:nary>
          <m:naryPr>
            <m:chr m:val="∑"/>
            <m:limLoc m:val="undOvr"/>
            <m:ctrlPr>
              <w:rPr>
                <w:rFonts w:ascii="Cambria Math" w:hAnsi="Cambria Math"/>
                <w:i/>
                <w:iCs/>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iCs/>
                  </w:rPr>
                </m:ctrlPr>
              </m:naryPr>
              <m:sub>
                <m:r>
                  <w:rPr>
                    <w:rFonts w:ascii="Cambria Math" w:hAnsi="Cambria Math"/>
                  </w:rPr>
                  <m:t>j=1</m:t>
                </m:r>
              </m:sub>
              <m:sup>
                <m:r>
                  <w:rPr>
                    <w:rFonts w:ascii="Cambria Math" w:hAnsi="Cambria Math"/>
                  </w:rPr>
                  <m:t>m</m:t>
                </m:r>
              </m:sup>
              <m:e>
                <m:sSub>
                  <m:sSubPr>
                    <m:ctrlPr>
                      <w:rPr>
                        <w:rFonts w:ascii="Cambria Math" w:hAnsi="Cambria Math"/>
                        <w:i/>
                        <w:iCs/>
                      </w:rPr>
                    </m:ctrlPr>
                  </m:sSubPr>
                  <m:e>
                    <m:r>
                      <w:rPr>
                        <w:rFonts w:ascii="Cambria Math" w:hAnsi="Cambria Math"/>
                      </w:rPr>
                      <m:t>P</m:t>
                    </m:r>
                  </m:e>
                  <m:sub>
                    <m:r>
                      <w:rPr>
                        <w:rFonts w:ascii="Cambria Math" w:hAnsi="Cambria Math"/>
                      </w:rPr>
                      <m:t>i</m:t>
                    </m:r>
                  </m:sub>
                </m:sSub>
                <m:r>
                  <w:rPr>
                    <w:rFonts w:ascii="Cambria Math" w:hAnsi="Cambria Math"/>
                  </w:rPr>
                  <m:t> ∙ </m:t>
                </m:r>
                <m:sSub>
                  <m:sSubPr>
                    <m:ctrlPr>
                      <w:rPr>
                        <w:rFonts w:ascii="Cambria Math" w:hAnsi="Cambria Math"/>
                        <w:i/>
                        <w:iCs/>
                      </w:rPr>
                    </m:ctrlPr>
                  </m:sSubPr>
                  <m:e>
                    <m:r>
                      <w:rPr>
                        <w:rFonts w:ascii="Cambria Math" w:hAnsi="Cambria Math"/>
                      </w:rPr>
                      <m:t>E</m:t>
                    </m:r>
                  </m:e>
                  <m:sub>
                    <m:r>
                      <w:rPr>
                        <w:rFonts w:ascii="Cambria Math" w:hAnsi="Cambria Math"/>
                      </w:rPr>
                      <m:t>j</m:t>
                    </m:r>
                  </m:sub>
                </m:sSub>
                <m:r>
                  <w:rPr>
                    <w:rFonts w:ascii="Cambria Math" w:hAnsi="Cambria Math"/>
                  </w:rPr>
                  <m:t> ∙ </m:t>
                </m:r>
                <m:sSub>
                  <m:sSubPr>
                    <m:ctrlPr>
                      <w:rPr>
                        <w:rFonts w:ascii="Cambria Math" w:hAnsi="Cambria Math"/>
                        <w:i/>
                        <w:iCs/>
                      </w:rPr>
                    </m:ctrlPr>
                  </m:sSubPr>
                  <m:e>
                    <m:r>
                      <w:rPr>
                        <w:rFonts w:ascii="Cambria Math" w:hAnsi="Cambria Math"/>
                      </w:rPr>
                      <m:t>μ</m:t>
                    </m:r>
                  </m:e>
                  <m:sub>
                    <m:r>
                      <w:rPr>
                        <w:rFonts w:ascii="Cambria Math" w:hAnsi="Cambria Math"/>
                      </w:rPr>
                      <m:t>i,j</m:t>
                    </m:r>
                  </m:sub>
                </m:sSub>
              </m:e>
            </m:nary>
          </m:e>
        </m:nary>
      </m:oMath>
      <w:r w:rsidR="00013C3D" w:rsidRPr="000D47FD">
        <w:t xml:space="preserve">, </w:t>
      </w:r>
      <w:proofErr w:type="gramStart"/>
      <w:r w:rsidR="00013C3D" w:rsidRPr="000D47FD">
        <w:t>where</w:t>
      </w:r>
      <w:proofErr w:type="gramEnd"/>
    </w:p>
    <w:p w14:paraId="0727F143" w14:textId="77777777" w:rsidR="00013C3D" w:rsidRPr="000D47FD" w:rsidRDefault="00013C3D" w:rsidP="00013C3D">
      <w:pPr>
        <w:numPr>
          <w:ilvl w:val="1"/>
          <w:numId w:val="9"/>
        </w:numPr>
      </w:pPr>
      <w:r w:rsidRPr="000D47FD">
        <w:t>P</w:t>
      </w:r>
      <w:r w:rsidRPr="000D47FD">
        <w:rPr>
          <w:vertAlign w:val="subscript"/>
        </w:rPr>
        <w:t>i</w:t>
      </w:r>
      <w:r w:rsidRPr="000D47FD">
        <w:t xml:space="preserve"> is the normalized value of the intensity of a pressure “</w:t>
      </w:r>
      <w:proofErr w:type="spellStart"/>
      <w:r w:rsidRPr="000D47FD">
        <w:t>i</w:t>
      </w:r>
      <w:proofErr w:type="spellEnd"/>
      <w:r w:rsidRPr="000D47FD">
        <w:t xml:space="preserve">” at the </w:t>
      </w:r>
      <w:r>
        <w:t>spatially-referenced cell of interest (c);</w:t>
      </w:r>
    </w:p>
    <w:p w14:paraId="225F3DA1" w14:textId="77777777" w:rsidR="00013C3D" w:rsidRPr="000D47FD" w:rsidRDefault="00013C3D" w:rsidP="00013C3D">
      <w:pPr>
        <w:numPr>
          <w:ilvl w:val="1"/>
          <w:numId w:val="9"/>
        </w:numPr>
      </w:pPr>
      <w:proofErr w:type="spellStart"/>
      <w:r w:rsidRPr="000D47FD">
        <w:t>E</w:t>
      </w:r>
      <w:r w:rsidRPr="000D47FD">
        <w:rPr>
          <w:vertAlign w:val="subscript"/>
        </w:rPr>
        <w:t>j</w:t>
      </w:r>
      <w:proofErr w:type="spellEnd"/>
      <w:r w:rsidRPr="000D47FD">
        <w:t xml:space="preserve"> is the presence (1) or ab</w:t>
      </w:r>
      <w:r>
        <w:t>sence (0) of endpoint type “j” for the cell;</w:t>
      </w:r>
    </w:p>
    <w:p w14:paraId="3ACC1C5C" w14:textId="77777777" w:rsidR="00013C3D" w:rsidRDefault="00013C3D" w:rsidP="00013C3D">
      <w:pPr>
        <w:numPr>
          <w:ilvl w:val="1"/>
          <w:numId w:val="9"/>
        </w:numPr>
      </w:pPr>
      <w:r w:rsidRPr="000D47FD">
        <w:rPr>
          <w:lang w:val="el-GR"/>
        </w:rPr>
        <w:t>μ</w:t>
      </w:r>
      <w:proofErr w:type="spellStart"/>
      <w:r w:rsidRPr="000D47FD">
        <w:rPr>
          <w:vertAlign w:val="subscript"/>
        </w:rPr>
        <w:t>i</w:t>
      </w:r>
      <w:proofErr w:type="spellEnd"/>
      <w:r w:rsidRPr="000D47FD">
        <w:rPr>
          <w:vertAlign w:val="subscript"/>
        </w:rPr>
        <w:t>, j</w:t>
      </w:r>
      <w:r>
        <w:t xml:space="preserve"> is the model-calculated</w:t>
      </w:r>
      <w:r w:rsidRPr="000D47FD">
        <w:t xml:space="preserve"> </w:t>
      </w:r>
      <w:r>
        <w:t>vulnerability</w:t>
      </w:r>
      <w:r w:rsidRPr="000D47FD">
        <w:t xml:space="preserve"> </w:t>
      </w:r>
      <w:r>
        <w:t>constant</w:t>
      </w:r>
      <w:r w:rsidRPr="000D47FD">
        <w:t xml:space="preserve"> that transforms the </w:t>
      </w:r>
      <w:r>
        <w:t>pressure intensity (P</w:t>
      </w:r>
      <w:r w:rsidRPr="006C611F">
        <w:rPr>
          <w:vertAlign w:val="subscript"/>
        </w:rPr>
        <w:t>i</w:t>
      </w:r>
      <w:r>
        <w:t xml:space="preserve"> value) into a measure or index of the expected impact for a present endpoint (</w:t>
      </w:r>
      <w:proofErr w:type="spellStart"/>
      <w:r>
        <w:t>E</w:t>
      </w:r>
      <w:r>
        <w:rPr>
          <w:vertAlign w:val="subscript"/>
        </w:rPr>
        <w:t>j</w:t>
      </w:r>
      <w:proofErr w:type="spellEnd"/>
      <w:r>
        <w:t>=1);</w:t>
      </w:r>
    </w:p>
    <w:p w14:paraId="4E4CC3AD" w14:textId="4925CD88" w:rsidR="008E0CCC" w:rsidRPr="008E0CCC" w:rsidRDefault="00013C3D" w:rsidP="00013C3D">
      <w:pPr>
        <w:numPr>
          <w:ilvl w:val="1"/>
          <w:numId w:val="9"/>
        </w:numPr>
      </w:pPr>
      <w:proofErr w:type="gramStart"/>
      <w:r>
        <w:t>n</w:t>
      </w:r>
      <w:proofErr w:type="gramEnd"/>
      <w:r>
        <w:t xml:space="preserve"> is  the total number of pressures and m is the total number of endpoint types.</w:t>
      </w:r>
    </w:p>
    <w:p w14:paraId="28EB59EA" w14:textId="4829D2EE" w:rsidR="00F71F62" w:rsidRDefault="00D41A44" w:rsidP="00D41A44">
      <w:pPr>
        <w:tabs>
          <w:tab w:val="left" w:pos="0"/>
        </w:tabs>
      </w:pPr>
      <w:r>
        <w:t>The mapping procedure implied by this equation uses three fundamental types of information: (1) mapped pressure data interpolated over grid cells, (2) a score-based assessed vulnerability factor (</w:t>
      </w:r>
      <w:r w:rsidRPr="000D47FD">
        <w:rPr>
          <w:lang w:val="el-GR"/>
        </w:rPr>
        <w:t>μ</w:t>
      </w:r>
      <w:proofErr w:type="spellStart"/>
      <w:r w:rsidRPr="000D47FD">
        <w:rPr>
          <w:vertAlign w:val="subscript"/>
        </w:rPr>
        <w:t>i</w:t>
      </w:r>
      <w:proofErr w:type="spellEnd"/>
      <w:r w:rsidRPr="000D47FD">
        <w:rPr>
          <w:vertAlign w:val="subscript"/>
        </w:rPr>
        <w:t>, j</w:t>
      </w:r>
      <w:r>
        <w:t>) to transform a pressure intensity (P</w:t>
      </w:r>
      <w:r w:rsidR="00351AAE">
        <w:rPr>
          <w:vertAlign w:val="subscript"/>
        </w:rPr>
        <w:t>i</w:t>
      </w:r>
      <w:r w:rsidR="00351AAE">
        <w:t xml:space="preserve">) </w:t>
      </w:r>
      <w:r>
        <w:t>to a potential impact for the endpoint (</w:t>
      </w:r>
      <w:proofErr w:type="spellStart"/>
      <w:r>
        <w:t>E</w:t>
      </w:r>
      <w:r w:rsidRPr="00D41A44">
        <w:rPr>
          <w:vertAlign w:val="subscript"/>
        </w:rPr>
        <w:t>j</w:t>
      </w:r>
      <w:proofErr w:type="spellEnd"/>
      <w:r>
        <w:t>), and (3) information on the presence or absence of ecos</w:t>
      </w:r>
      <w:r w:rsidR="00656877">
        <w:t xml:space="preserve">ystem endpoints in a grid cell.  As written, the equation calculates the </w:t>
      </w:r>
      <w:r w:rsidR="005966FB">
        <w:t xml:space="preserve">cumulative </w:t>
      </w:r>
      <w:r w:rsidR="00656877">
        <w:t>impact</w:t>
      </w:r>
      <w:r w:rsidR="005966FB">
        <w:t>, i.e., the</w:t>
      </w:r>
      <w:r w:rsidR="00656877">
        <w:t xml:space="preserve"> summ</w:t>
      </w:r>
      <w:r w:rsidR="005966FB">
        <w:t>ation</w:t>
      </w:r>
      <w:r w:rsidR="00656877">
        <w:t xml:space="preserve"> over </w:t>
      </w:r>
      <w:r w:rsidR="005966FB">
        <w:t>all pressures that act on the endpoint present at the cell.  Using variations on this equation, t</w:t>
      </w:r>
      <w:r>
        <w:t xml:space="preserve">he </w:t>
      </w:r>
      <w:r w:rsidR="00351AAE">
        <w:t xml:space="preserve">potential impacts and pressures </w:t>
      </w:r>
      <w:r>
        <w:t xml:space="preserve">can be </w:t>
      </w:r>
      <w:r w:rsidR="005966FB">
        <w:t xml:space="preserve">modeled and </w:t>
      </w:r>
      <w:r>
        <w:t xml:space="preserve">mapped in a number of ways, depending on the focus of interest.  For example, </w:t>
      </w:r>
      <w:r w:rsidR="00351AAE">
        <w:t>potential impacts</w:t>
      </w:r>
      <w:r>
        <w:t xml:space="preserve"> for individual </w:t>
      </w:r>
      <w:r w:rsidR="005966FB">
        <w:t>pressures/</w:t>
      </w:r>
      <w:r>
        <w:t>stressors can be mapped for comparison</w:t>
      </w:r>
      <w:r w:rsidR="005966FB">
        <w:t xml:space="preserve"> between endpoint types</w:t>
      </w:r>
      <w:r>
        <w:t xml:space="preserve">, among other potential queries.  </w:t>
      </w:r>
      <w:r w:rsidR="00351AAE">
        <w:t>The VME</w:t>
      </w:r>
      <w:r>
        <w:t xml:space="preserve"> approach focuses only on </w:t>
      </w:r>
      <w:proofErr w:type="gramStart"/>
      <w:r>
        <w:t>spatially-explicit</w:t>
      </w:r>
      <w:proofErr w:type="gramEnd"/>
      <w:r>
        <w:t xml:space="preserve"> assessment endpoints</w:t>
      </w:r>
      <w:r w:rsidR="00351AAE">
        <w:t>, which reflects the focus on habitat types</w:t>
      </w:r>
      <w:r>
        <w:t>.</w:t>
      </w:r>
      <w:r w:rsidR="00F71F62">
        <w:t xml:space="preserve">  </w:t>
      </w:r>
      <w:r w:rsidR="00F71F62" w:rsidRPr="00F71F62">
        <w:t>Relevant examples of the application of this approach include pressure and impact indices mapping for the Baltic Sea (HELCOM, 2010) and threats and impacts mapping of global marine ecosystems (Halpern et al., 2008), the California Current (Halpern et al., 2009), Canadian coastal Pacific waters (Ban et al., 2010), and Massachusetts state waters (</w:t>
      </w:r>
      <w:proofErr w:type="spellStart"/>
      <w:r w:rsidR="00F71F62" w:rsidRPr="00F71F62">
        <w:t>Kappel</w:t>
      </w:r>
      <w:proofErr w:type="spellEnd"/>
      <w:r w:rsidR="00F71F62" w:rsidRPr="00F71F62">
        <w:t xml:space="preserve"> et al, 2012).</w:t>
      </w:r>
    </w:p>
    <w:p w14:paraId="71FBB523" w14:textId="180C9B82" w:rsidR="008E0CCC" w:rsidRDefault="008E0CCC" w:rsidP="00013C3D">
      <w:r>
        <w:t>In terms of the proposed pressures assessment framework for Puget Sound, t</w:t>
      </w:r>
      <w:r w:rsidRPr="008E0CCC">
        <w:t>he conceptual model</w:t>
      </w:r>
      <w:r>
        <w:t xml:space="preserve"> underlying this equation can be summarized as (Figure 5): </w:t>
      </w:r>
    </w:p>
    <w:p w14:paraId="153486C2" w14:textId="3DE395B7" w:rsidR="008E0CCC" w:rsidRDefault="008E0CCC" w:rsidP="00013C3D"/>
    <w:p w14:paraId="172E2221" w14:textId="70F61985" w:rsidR="008E0CCC" w:rsidRDefault="008E0CCC" w:rsidP="00013C3D"/>
    <w:p w14:paraId="5FE01052" w14:textId="77777777" w:rsidR="008E0CCC" w:rsidRDefault="008E0CCC" w:rsidP="00013C3D"/>
    <w:p w14:paraId="31DF0CCE" w14:textId="77777777" w:rsidR="008E0CCC" w:rsidRDefault="008E0CCC" w:rsidP="00013C3D"/>
    <w:p w14:paraId="54FB0DB5" w14:textId="77777777" w:rsidR="008E0CCC" w:rsidRPr="008E0CCC" w:rsidRDefault="008E0CCC" w:rsidP="00013C3D"/>
    <w:p w14:paraId="5FCBD47D" w14:textId="2DF4C336" w:rsidR="008E0CCC" w:rsidRDefault="008E0CCC" w:rsidP="00013C3D">
      <w:pPr>
        <w:rPr>
          <w:highlight w:val="yellow"/>
        </w:rPr>
      </w:pPr>
    </w:p>
    <w:p w14:paraId="29A39C53" w14:textId="70D6861F" w:rsidR="008E0CCC" w:rsidRDefault="008E0CCC" w:rsidP="00013C3D">
      <w:pPr>
        <w:rPr>
          <w:highlight w:val="yellow"/>
        </w:rPr>
      </w:pPr>
    </w:p>
    <w:p w14:paraId="04B0D8A0" w14:textId="6FF6DD47" w:rsidR="008E0CCC" w:rsidRDefault="008E0CCC" w:rsidP="00013C3D">
      <w:pPr>
        <w:rPr>
          <w:highlight w:val="yellow"/>
        </w:rPr>
      </w:pPr>
    </w:p>
    <w:p w14:paraId="0F7315A5" w14:textId="70BB58D1" w:rsidR="008E0CCC" w:rsidRDefault="008A4183" w:rsidP="00013C3D">
      <w:pPr>
        <w:rPr>
          <w:highlight w:val="yellow"/>
        </w:rPr>
      </w:pPr>
      <w:r>
        <w:rPr>
          <w:noProof/>
        </w:rPr>
        <mc:AlternateContent>
          <mc:Choice Requires="wpg">
            <w:drawing>
              <wp:inline distT="0" distB="0" distL="0" distR="0" wp14:anchorId="1F6FC2AB" wp14:editId="781F8489">
                <wp:extent cx="5943600" cy="3086100"/>
                <wp:effectExtent l="50800" t="25400" r="0" b="12700"/>
                <wp:docPr id="2068" name="Group 2068"/>
                <wp:cNvGraphicFramePr/>
                <a:graphic xmlns:a="http://schemas.openxmlformats.org/drawingml/2006/main">
                  <a:graphicData uri="http://schemas.microsoft.com/office/word/2010/wordprocessingGroup">
                    <wpg:wgp>
                      <wpg:cNvGrpSpPr/>
                      <wpg:grpSpPr>
                        <a:xfrm>
                          <a:off x="0" y="0"/>
                          <a:ext cx="5943600" cy="3086100"/>
                          <a:chOff x="0" y="0"/>
                          <a:chExt cx="5943600" cy="3086100"/>
                        </a:xfrm>
                        <a:extLst>
                          <a:ext uri="{0CCBE362-F206-4b92-989A-16890622DB6E}">
                            <ma14:wrappingTextBoxFlag xmlns:ma14="http://schemas.microsoft.com/office/mac/drawingml/2011/main"/>
                          </a:ext>
                        </a:extLst>
                      </wpg:grpSpPr>
                      <wpg:grpSp>
                        <wpg:cNvPr id="2069" name="Group 2069"/>
                        <wpg:cNvGrpSpPr/>
                        <wpg:grpSpPr>
                          <a:xfrm>
                            <a:off x="0" y="0"/>
                            <a:ext cx="5829300" cy="2628900"/>
                            <a:chOff x="0" y="0"/>
                            <a:chExt cx="5829300" cy="2628900"/>
                          </a:xfrm>
                        </wpg:grpSpPr>
                        <wps:wsp>
                          <wps:cNvPr id="2070" name="Oval 2070"/>
                          <wps:cNvSpPr/>
                          <wps:spPr>
                            <a:xfrm>
                              <a:off x="2171700" y="1600200"/>
                              <a:ext cx="1600200" cy="1028700"/>
                            </a:xfrm>
                            <a:prstGeom prst="ellipse">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5"/>
                            </a:lnRef>
                            <a:fillRef idx="2">
                              <a:schemeClr val="accent5"/>
                            </a:fillRef>
                            <a:effectRef idx="1">
                              <a:schemeClr val="accent5"/>
                            </a:effectRef>
                            <a:fontRef idx="minor">
                              <a:schemeClr val="dk1"/>
                            </a:fontRef>
                          </wps:style>
                          <wps:txbx>
                            <w:txbxContent>
                              <w:p w14:paraId="5CEA3118" w14:textId="77777777" w:rsidR="00074ADD" w:rsidRDefault="00074ADD" w:rsidP="008A4183">
                                <w:pPr>
                                  <w:jc w:val="center"/>
                                </w:pPr>
                                <w:r>
                                  <w:t>Ecosystem 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1" name="Group 2071"/>
                          <wpg:cNvGrpSpPr/>
                          <wpg:grpSpPr>
                            <a:xfrm>
                              <a:off x="0" y="0"/>
                              <a:ext cx="5829300" cy="1828800"/>
                              <a:chOff x="0" y="0"/>
                              <a:chExt cx="5829300" cy="1828800"/>
                            </a:xfrm>
                            <a:extLst>
                              <a:ext uri="{0CCBE362-F206-4b92-989A-16890622DB6E}">
                                <ma14:wrappingTextBoxFlag xmlns:ma14="http://schemas.microsoft.com/office/mac/drawingml/2011/main"/>
                              </a:ext>
                            </a:extLst>
                          </wpg:grpSpPr>
                          <wps:wsp>
                            <wps:cNvPr id="2072" name="Oval 2072"/>
                            <wps:cNvSpPr/>
                            <wps:spPr>
                              <a:xfrm>
                                <a:off x="0" y="0"/>
                                <a:ext cx="1600200" cy="10287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1F6A4807" w14:textId="77777777" w:rsidR="00074ADD" w:rsidRDefault="00074ADD" w:rsidP="008A4183">
                                  <w:pPr>
                                    <w:jc w:val="center"/>
                                  </w:pPr>
                                  <w:r>
                                    <w:t>Intrinsic Vulnerability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Oval 2073"/>
                            <wps:cNvSpPr/>
                            <wps:spPr>
                              <a:xfrm>
                                <a:off x="2171700" y="0"/>
                                <a:ext cx="1600200" cy="10287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4B59F402" w14:textId="77777777" w:rsidR="00074ADD" w:rsidRDefault="00074ADD" w:rsidP="008A4183">
                                  <w:pPr>
                                    <w:jc w:val="center"/>
                                  </w:pPr>
                                  <w:r>
                                    <w:t>Stressor Intensity and 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Oval 2074"/>
                            <wps:cNvSpPr/>
                            <wps:spPr>
                              <a:xfrm>
                                <a:off x="4229100" y="0"/>
                                <a:ext cx="1600200" cy="10287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4F2C4CC" w14:textId="77777777" w:rsidR="00074ADD" w:rsidRDefault="00074ADD" w:rsidP="008A4183">
                                  <w:pPr>
                                    <w:jc w:val="center"/>
                                  </w:pPr>
                                  <w:r>
                                    <w:t>Endpoint Distribution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Straight Arrow Connector 2075"/>
                            <wps:cNvCnPr/>
                            <wps:spPr>
                              <a:xfrm>
                                <a:off x="1371600" y="914400"/>
                                <a:ext cx="9144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76" name="Straight Arrow Connector 2076"/>
                            <wps:cNvCnPr/>
                            <wps:spPr>
                              <a:xfrm>
                                <a:off x="2971800" y="1028700"/>
                                <a:ext cx="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077" name="Straight Arrow Connector 2077"/>
                            <wps:cNvCnPr/>
                            <wps:spPr>
                              <a:xfrm flipH="1">
                                <a:off x="3657600" y="1028700"/>
                                <a:ext cx="11430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g:grpSp>
                      <wps:wsp>
                        <wps:cNvPr id="2078" name="Text Box 2078"/>
                        <wps:cNvSpPr txBox="1"/>
                        <wps:spPr>
                          <a:xfrm>
                            <a:off x="0" y="2743200"/>
                            <a:ext cx="5943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74984F" w14:textId="77777777" w:rsidR="00074ADD" w:rsidRDefault="00074ADD" w:rsidP="008A4183">
                              <w:pPr>
                                <w:pStyle w:val="Caption"/>
                              </w:pPr>
                              <w:r>
                                <w:t xml:space="preserve">Figure 5. </w:t>
                              </w:r>
                              <w:proofErr w:type="gramStart"/>
                              <w:r>
                                <w:t>Potential ecosystem impacts as a function of intrinsic vulnerability, stressor intensity and distribution, and endpoint distribution.</w:t>
                              </w:r>
                              <w:proofErr w:type="gramEnd"/>
                            </w:p>
                            <w:p w14:paraId="1403CC25" w14:textId="77777777" w:rsidR="00074ADD" w:rsidRDefault="00074ADD" w:rsidP="008A418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2068" o:spid="_x0000_s1057" style="width:468pt;height:243pt;mso-position-horizontal-relative:char;mso-position-vertical-relative:line" coordsize="5943600,3086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">
                <v:group id="Group 2069" o:spid="_x0000_s1058" style="position:absolute;width:5829300;height:2628900" coordsize="5829300,2628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BaFVhPxwAAAN0A&#10;AAAPAAAAAAAAAAAAAAAAAKkCAABkcnMvZG93bnJldi54bWxQSwUGAAAAAAQABAD6AAAAnQMAAAAA&#10;">
                  <v:oval id="Oval 2070" o:spid="_x0000_s1059" style="position:absolute;left:2171700;top:1600200;width:16002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y5lwgAA&#10;AN0AAAAPAAAAZHJzL2Rvd25yZXYueG1sRE/Pa8IwFL4L+x/CG3jTZCJaq1FU5hierHrx9miebVnz&#10;Upqs1v9+OQw8fny/V5ve1qKj1leONXyMFQji3JmKCw3Xy2GUgPAB2WDtmDQ8ycNm/TZYYWrcgzPq&#10;zqEQMYR9ihrKEJpUSp+XZNGPXUMcubtrLYYI20KaFh8x3NZyotRMWqw4NpTY0L6k/Of8azVUx0Uy&#10;z7pbsjvNuuzrvlNy+nnVevjeb5cgAvXhJf53fxsNEzWP++Ob+AT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3LmXCAAAA3QAAAA8AAAAAAAAAAAAAAAAAlwIAAGRycy9kb3du&#10;cmV2LnhtbFBLBQYAAAAABAAEAPUAAACGAwAAAAA=&#10;" fillcolor="#a5d5e2 [1624]" strokecolor="#40a7c2 [3048]">
                    <v:fill color2="#e4f2f6 [504]" rotate="t" colors="0 #9eeaff;22938f #bbefff;1 #e4f9ff" type="gradient"/>
                    <v:shadow on="t" opacity="24903f" mv:blur="40000f" origin=",.5" offset="0,20000emu"/>
                    <v:textbox>
                      <w:txbxContent>
                        <w:p w14:paraId="5CEA3118" w14:textId="77777777" w:rsidR="00074ADD" w:rsidRDefault="00074ADD" w:rsidP="008A4183">
                          <w:pPr>
                            <w:jc w:val="center"/>
                          </w:pPr>
                          <w:r>
                            <w:t>Ecosystem Impact</w:t>
                          </w:r>
                        </w:p>
                      </w:txbxContent>
                    </v:textbox>
                  </v:oval>
                  <v:group id="Group 2071" o:spid="_x0000_s1060" style="position:absolute;width:5829300;height:1828800" coordsize="58293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brClMUAAADdAAAA&#10;DwAAAAAAAAAAAAAAAACpAgAAZHJzL2Rvd25yZXYueG1sUEsFBgAAAAAEAAQA+gAAAJsDAAAAAA==&#10;">
                    <v:oval id="Oval 2072" o:spid="_x0000_s1061" style="position:absolute;width:16002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KRWJxgAA&#10;AN0AAAAPAAAAZHJzL2Rvd25yZXYueG1sRI9Ba8JAFITvBf/D8oTe6m5D0Zi6ioot0pNRL709ss8k&#10;NPs2ZNeY/vuuUPA4zMw3zGI12Eb01PnasYbXiQJBXDhTc6nhfPp4SUH4gGywcUwafsnDajl6WmBm&#10;3I1z6o+hFBHCPkMNVQhtJqUvKrLoJ64ljt7FdRZDlF0pTYe3CLeNTJSaSos1x4UKW9pWVPwcr1ZD&#10;/TVPZ3n/nW4O0z7/vGyUfNudtX4eD+t3EIGG8Aj/t/dGQ6JmCdzfxCc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KRWJxgAAAN0AAAAPAAAAAAAAAAAAAAAAAJcCAABkcnMv&#10;ZG93bnJldi54bWxQSwUGAAAAAAQABAD1AAAAigMAAAAA&#10;" fillcolor="#a5d5e2 [1624]" strokecolor="#40a7c2 [3048]">
                      <v:fill color2="#e4f2f6 [504]" rotate="t" colors="0 #9eeaff;22938f #bbefff;1 #e4f9ff" type="gradient"/>
                      <v:shadow on="t" opacity="24903f" mv:blur="40000f" origin=",.5" offset="0,20000emu"/>
                      <v:textbox>
                        <w:txbxContent>
                          <w:p w14:paraId="1F6A4807" w14:textId="77777777" w:rsidR="00074ADD" w:rsidRDefault="00074ADD" w:rsidP="008A4183">
                            <w:pPr>
                              <w:jc w:val="center"/>
                            </w:pPr>
                            <w:r>
                              <w:t>Intrinsic Vulnerability</w:t>
                            </w:r>
                          </w:p>
                        </w:txbxContent>
                      </v:textbox>
                    </v:oval>
                    <v:oval id="Oval 2073" o:spid="_x0000_s1062" style="position:absolute;left:2171700;width:16002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ZbASxgAA&#10;AN0AAAAPAAAAZHJzL2Rvd25yZXYueG1sRI9Ba8JAFITvhf6H5RW81d1q0RhdRaUtxZNRL94e2WcS&#10;mn0bstsY/71bKHgcZuYbZrHqbS06an3lWMPbUIEgzp2puNBwOn6+JiB8QDZYOyYNN/KwWj4/LTA1&#10;7soZdYdQiAhhn6KGMoQmldLnJVn0Q9cQR+/iWoshyraQpsVrhNtajpSaSIsVx4USG9qWlP8cfq2G&#10;ajdLpll3Tjb7SZd9XTZKvn+ctB689Os5iEB9eIT/299Gw0hNx/D3Jj4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ZbASxgAAAN0AAAAPAAAAAAAAAAAAAAAAAJcCAABkcnMv&#10;ZG93bnJldi54bWxQSwUGAAAAAAQABAD1AAAAigMAAAAA&#10;" fillcolor="#a5d5e2 [1624]" strokecolor="#40a7c2 [3048]">
                      <v:fill color2="#e4f2f6 [504]" rotate="t" colors="0 #9eeaff;22938f #bbefff;1 #e4f9ff" type="gradient"/>
                      <v:shadow on="t" opacity="24903f" mv:blur="40000f" origin=",.5" offset="0,20000emu"/>
                      <v:textbox>
                        <w:txbxContent>
                          <w:p w14:paraId="4B59F402" w14:textId="77777777" w:rsidR="00074ADD" w:rsidRDefault="00074ADD" w:rsidP="008A4183">
                            <w:pPr>
                              <w:jc w:val="center"/>
                            </w:pPr>
                            <w:r>
                              <w:t>Stressor Intensity and Distribution</w:t>
                            </w:r>
                          </w:p>
                        </w:txbxContent>
                      </v:textbox>
                    </v:oval>
                    <v:oval id="Oval 2074" o:spid="_x0000_s1063" style="position:absolute;left:4229100;width:16002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jChmxgAA&#10;AN0AAAAPAAAAZHJzL2Rvd25yZXYueG1sRI9Ba8JAFITvgv9heYXedLciGqOrqLSl9GTUi7dH9pkE&#10;s29Ddo3pv+8WCh6HmfmGWW16W4uOWl851vA2ViCIc2cqLjScTx+jBIQPyAZrx6Thhzxs1sPBClPj&#10;HpxRdwyFiBD2KWooQ2hSKX1ekkU/dg1x9K6utRiibAtpWnxEuK3lRKmZtFhxXCixoX1J+e14txqq&#10;70Uyz7pLsjvMuuzzulNy+n7W+vWl3y5BBOrDM/zf/jIaJmo+hb838QnI9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jChmxgAAAN0AAAAPAAAAAAAAAAAAAAAAAJcCAABkcnMv&#10;ZG93bnJldi54bWxQSwUGAAAAAAQABAD1AAAAigMAAAAA&#10;" fillcolor="#a5d5e2 [1624]" strokecolor="#40a7c2 [3048]">
                      <v:fill color2="#e4f2f6 [504]" rotate="t" colors="0 #9eeaff;22938f #bbefff;1 #e4f9ff" type="gradient"/>
                      <v:shadow on="t" opacity="24903f" mv:blur="40000f" origin=",.5" offset="0,20000emu"/>
                      <v:textbox>
                        <w:txbxContent>
                          <w:p w14:paraId="54F2C4CC" w14:textId="77777777" w:rsidR="00074ADD" w:rsidRDefault="00074ADD" w:rsidP="008A4183">
                            <w:pPr>
                              <w:jc w:val="center"/>
                            </w:pPr>
                            <w:r>
                              <w:t>Endpoint Distribution</w:t>
                            </w:r>
                          </w:p>
                        </w:txbxContent>
                      </v:textbox>
                    </v:oval>
                    <v:shape id="Straight Arrow Connector 2075" o:spid="_x0000_s1064" type="#_x0000_t32" style="position:absolute;left:1371600;top:914400;width:914400;height:9144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m8qccAAADdAAAADwAAAGRycy9kb3ducmV2LnhtbESPT0sDMRTE74LfITzBm01aUMu2aekf&#10;qqJiaevB42Pzurt08xKSuN1+eyMIHoeZ+Q0znfe2FR2F2DjWMBwoEMSlMw1XGj4Pm7sxiJiQDbaO&#10;ScOFIsxn11dTLIw78466fapEhnAsUEOdki+kjGVNFuPAeeLsHV2wmLIMlTQBzxluWzlS6kFabDgv&#10;1OhpVVN52n9bDa/vz6vUqXDx6w/ajv3b8vj11Gt9e9MvJiAS9ek//Nd+MRpG6vEeft/kJyBn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iWbypxwAAAN0AAAAPAAAAAAAA&#10;AAAAAAAAAKECAABkcnMvZG93bnJldi54bWxQSwUGAAAAAAQABAD5AAAAlQMAAAAA&#10;" strokecolor="#4f81bd [3204]" strokeweight="2pt">
                      <v:stroke endarrow="open"/>
                      <v:shadow on="t" opacity="24903f" mv:blur="40000f" origin=",.5" offset="0,20000emu"/>
                    </v:shape>
                    <v:shape id="Straight Arrow Connector 2076" o:spid="_x0000_s1065" type="#_x0000_t32" style="position:absolute;left:2971800;top:102870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osi3scAAADdAAAADwAAAGRycy9kb3ducmV2LnhtbESPT0sDMRTE74LfITyhN5vYQy3bpqVW&#10;tEVF6Z9Dj4/N6+7i5iUk6Xb77Y0geBxm5jfMbNHbVnQUYuNYw8NQgSAunWm40nDYv9xPQMSEbLB1&#10;TBquFGExv72ZYWHchbfU7VIlMoRjgRrqlHwhZSxrshiHzhNn7+SCxZRlqKQJeMlw28qRUmNpseG8&#10;UKOnVU3l9+5sNbx9rFepU+Hqnz/pa+Lfn07H117rwV2/nIJI1Kf/8F97YzSM1OMYft/kJyDn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iyLexwAAAN0AAAAPAAAAAAAA&#10;AAAAAAAAAKECAABkcnMvZG93bnJldi54bWxQSwUGAAAAAAQABAD5AAAAlQMAAAAA&#10;" strokecolor="#4f81bd [3204]" strokeweight="2pt">
                      <v:stroke endarrow="open"/>
                      <v:shadow on="t" opacity="24903f" mv:blur="40000f" origin=",.5" offset="0,20000emu"/>
                    </v:shape>
                    <v:shape id="Straight Arrow Connector 2077" o:spid="_x0000_s1066" type="#_x0000_t32" style="position:absolute;left:3657600;top:1028700;width:1143000;height:8001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hybMMAAADdAAAADwAAAGRycy9kb3ducmV2LnhtbESPQYvCMBSE7wv+h/AEb2uqgko1iiiK&#10;lz2s+gOezbMpNi+hibX+eyMs7HGYmW+Y5bqztWipCZVjBaNhBoK4cLriUsHlvP+egwgRWWPtmBS8&#10;KMB61ftaYq7dk3+pPcVSJAiHHBWYGH0uZSgMWQxD54mTd3ONxZhkU0rd4DPBbS3HWTaVFitOCwY9&#10;bQ0V99PDKnDH3bTw5d7/mIndHa63VytHW6UG/W6zABGpi//hv/ZRKxhnsxl83qQnIFd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JocmzDAAAA3QAAAA8AAAAAAAAAAAAA&#10;AAAAoQIAAGRycy9kb3ducmV2LnhtbFBLBQYAAAAABAAEAPkAAACRAwAAAAA=&#10;" strokecolor="#4f81bd [3204]" strokeweight="2pt">
                      <v:stroke endarrow="open"/>
                      <v:shadow on="t" opacity="24903f" mv:blur="40000f" origin=",.5" offset="0,20000emu"/>
                    </v:shape>
                  </v:group>
                </v:group>
                <v:shape id="Text Box 2078" o:spid="_x0000_s1067" type="#_x0000_t202" style="position:absolute;top:2743200;width:5943600;height:34290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wNgxQAA&#10;AN0AAAAPAAAAZHJzL2Rvd25yZXYueG1sRE/Pa8IwFL4L/g/hCbuMmdrBHNUosjEZKMrcDjs+m2db&#10;bV5KEmvdX28OA48f3+/pvDO1aMn5yrKC0TABQZxbXXGh4Of74+kVhA/IGmvLpOBKHuazfm+KmbYX&#10;/qJ2FwoRQ9hnqKAMocmk9HlJBv3QNsSRO1hnMEToCqkdXmK4qWWaJC/SYMWxocSG3krKT7uzUfC3&#10;dWubpuvlaP/7XLXh/fG4WW2Uehh0iwmIQF24i//dn1pBmozj3PgmPgE5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zA2DFAAAA3QAAAA8AAAAAAAAAAAAAAAAAlwIAAGRycy9k&#10;b3ducmV2LnhtbFBLBQYAAAAABAAEAPUAAACJAwAAAAA=&#10;" filled="f" stroked="f">
                  <v:textbox>
                    <w:txbxContent>
                      <w:p w14:paraId="0074984F" w14:textId="77777777" w:rsidR="00074ADD" w:rsidRDefault="00074ADD" w:rsidP="008A4183">
                        <w:pPr>
                          <w:pStyle w:val="Caption"/>
                        </w:pPr>
                        <w:r>
                          <w:t xml:space="preserve">Figure 5. </w:t>
                        </w:r>
                        <w:proofErr w:type="gramStart"/>
                        <w:r>
                          <w:t>Potential ecosystem impacts as a function of intrinsic vulnerability, stressor intensity and distribution, and endpoint distribution.</w:t>
                        </w:r>
                        <w:proofErr w:type="gramEnd"/>
                      </w:p>
                      <w:p w14:paraId="1403CC25" w14:textId="77777777" w:rsidR="00074ADD" w:rsidRDefault="00074ADD" w:rsidP="008A4183"/>
                    </w:txbxContent>
                  </v:textbox>
                </v:shape>
                <w10:anchorlock/>
              </v:group>
            </w:pict>
          </mc:Fallback>
        </mc:AlternateContent>
      </w:r>
    </w:p>
    <w:p w14:paraId="4D12122A" w14:textId="77777777" w:rsidR="008E0CCC" w:rsidRDefault="008E0CCC" w:rsidP="00013C3D">
      <w:pPr>
        <w:rPr>
          <w:highlight w:val="yellow"/>
        </w:rPr>
      </w:pPr>
    </w:p>
    <w:p w14:paraId="74F22DF7" w14:textId="507F242C" w:rsidR="008E0CCC" w:rsidRPr="00025434" w:rsidRDefault="00285255" w:rsidP="00013C3D">
      <w:r>
        <w:t>Note the correspondence between</w:t>
      </w:r>
      <w:r w:rsidR="00025434">
        <w:t xml:space="preserve"> ecosystem impact,</w:t>
      </w:r>
      <w:r>
        <w:t xml:space="preserve"> intrinsic vulnerability, stressor intensity</w:t>
      </w:r>
      <w:r w:rsidR="00840FA8">
        <w:t>/</w:t>
      </w:r>
      <w:r>
        <w:t xml:space="preserve">distribution, and endpoint distribution </w:t>
      </w:r>
      <w:r w:rsidR="00840FA8">
        <w:t>with</w:t>
      </w:r>
      <w:r>
        <w:t xml:space="preserve"> terms</w:t>
      </w:r>
      <w:r w:rsidR="00025434">
        <w:t xml:space="preserve"> </w:t>
      </w:r>
      <w:proofErr w:type="spellStart"/>
      <w:r w:rsidR="00025434">
        <w:t>I</w:t>
      </w:r>
      <w:r w:rsidR="00025434">
        <w:rPr>
          <w:vertAlign w:val="subscript"/>
        </w:rPr>
        <w:t>c</w:t>
      </w:r>
      <w:proofErr w:type="spellEnd"/>
      <w:r w:rsidR="00025434">
        <w:t>,</w:t>
      </w:r>
      <w:r>
        <w:t xml:space="preserve"> </w:t>
      </w:r>
      <w:proofErr w:type="spellStart"/>
      <w:r w:rsidR="00025434" w:rsidRPr="00025434">
        <w:rPr>
          <w:rFonts w:ascii="Calibri" w:hAnsi="Calibri"/>
          <w:b/>
        </w:rPr>
        <w:t>μ</w:t>
      </w:r>
      <w:r w:rsidR="00025434">
        <w:rPr>
          <w:vertAlign w:val="subscript"/>
        </w:rPr>
        <w:t>i</w:t>
      </w:r>
      <w:proofErr w:type="gramStart"/>
      <w:r w:rsidR="00025434">
        <w:rPr>
          <w:vertAlign w:val="subscript"/>
        </w:rPr>
        <w:t>,j</w:t>
      </w:r>
      <w:proofErr w:type="spellEnd"/>
      <w:proofErr w:type="gramEnd"/>
      <w:r w:rsidR="00025434">
        <w:t>, P</w:t>
      </w:r>
      <w:r w:rsidR="00025434">
        <w:rPr>
          <w:vertAlign w:val="subscript"/>
        </w:rPr>
        <w:t>i</w:t>
      </w:r>
      <w:r w:rsidR="00025434">
        <w:t xml:space="preserve">, and </w:t>
      </w:r>
      <w:proofErr w:type="spellStart"/>
      <w:r w:rsidR="00025434">
        <w:t>E</w:t>
      </w:r>
      <w:r w:rsidR="00025434">
        <w:rPr>
          <w:vertAlign w:val="subscript"/>
        </w:rPr>
        <w:t>j</w:t>
      </w:r>
      <w:proofErr w:type="spellEnd"/>
      <w:r w:rsidR="00025434">
        <w:t xml:space="preserve"> in the potential impacts equation from the VME approach.  The significant differences between the VME approach to mapping potential impacts and the approach proposed here a</w:t>
      </w:r>
      <w:r w:rsidR="00351AAE">
        <w:t xml:space="preserve">re the scale of application, </w:t>
      </w:r>
      <w:r w:rsidR="00025434">
        <w:t xml:space="preserve">the treatment of </w:t>
      </w:r>
      <w:r w:rsidR="00840FA8">
        <w:t>the spatial distributions of stressor intensities and endpoints</w:t>
      </w:r>
      <w:r w:rsidR="00351AAE">
        <w:t>, and the use of species for some assessment endpoints</w:t>
      </w:r>
      <w:r w:rsidR="00025434">
        <w:t xml:space="preserve">.  In the VME approach applied to the Baltic Sea (HELCOM, 2010), potential impacts are calculated for </w:t>
      </w:r>
      <w:r w:rsidR="00840FA8">
        <w:t xml:space="preserve">(uniformly sized) </w:t>
      </w:r>
      <w:r w:rsidR="00025434">
        <w:t>grid cells treating stressor intensity as a normalized index estimated from summarized data interpolated across cells</w:t>
      </w:r>
      <w:r w:rsidR="00D41A44">
        <w:t xml:space="preserve"> and endpoints are accounted for using a presence/absence index.  In our approach, we similarly define stressor intensity using states that reflect historically observed and anticipated future values and use spatial analysis of available data to estimate stressor distribution, using data sets and expertise at the assessment unit scale (Section 3).  Similarly, we use spatial analysis of endpoint distribution to define where ecosystem impacts would be possible for the assessment endpoint in question. </w:t>
      </w:r>
      <w:r w:rsidR="008C5383">
        <w:t>Section 3 provides a more detailed discussion of the meaning and interpretation of intrinsic vulnerability, stressors, and endpoints</w:t>
      </w:r>
      <w:r w:rsidR="0038134A">
        <w:t>, including a discussion of the treatment of uncertainty in the information underlying the assessment</w:t>
      </w:r>
      <w:r w:rsidR="008C5383">
        <w:t>.</w:t>
      </w:r>
    </w:p>
    <w:p w14:paraId="580EB050" w14:textId="2EFC357E" w:rsidR="00CE50D3" w:rsidRDefault="00186378" w:rsidP="00023DD9">
      <w:pPr>
        <w:pStyle w:val="Heading3"/>
      </w:pPr>
      <w:bookmarkStart w:id="7" w:name="_Toc256149259"/>
      <w:r>
        <w:t>Probabilistic</w:t>
      </w:r>
      <w:r w:rsidR="00CE50D3">
        <w:t xml:space="preserve"> modeling </w:t>
      </w:r>
      <w:r>
        <w:t xml:space="preserve">of assessment </w:t>
      </w:r>
      <w:r w:rsidR="00CE50D3">
        <w:t>uncertainty</w:t>
      </w:r>
      <w:bookmarkEnd w:id="7"/>
    </w:p>
    <w:p w14:paraId="0CF1A3D3" w14:textId="4D095903" w:rsidR="009753F4" w:rsidRDefault="009753F4" w:rsidP="00CE50D3">
      <w:r>
        <w:t>Risk assessments, of which ecosystem pressures assessment is a particular kind,</w:t>
      </w:r>
      <w:r w:rsidR="002D377F">
        <w:t xml:space="preserve"> inherently involve uncertainty</w:t>
      </w:r>
      <w:r>
        <w:t>.</w:t>
      </w:r>
      <w:r w:rsidR="00165FEA">
        <w:t xml:space="preserve">  There are, of course, many sources of uncertainty in the consideration of the potential impacts of pressures on different aspects of an ecosystem, which could be organized in a number of ways.  </w:t>
      </w:r>
      <w:r w:rsidR="00DC3EA7">
        <w:t>In assessing and representing uncertainty, w</w:t>
      </w:r>
      <w:r w:rsidR="003F282C">
        <w:t xml:space="preserve">e use the decision analytical approach </w:t>
      </w:r>
      <w:r w:rsidR="000A592A">
        <w:t xml:space="preserve">to </w:t>
      </w:r>
      <w:r w:rsidR="003F282C">
        <w:t xml:space="preserve">interpreting </w:t>
      </w:r>
      <w:r w:rsidR="000A592A">
        <w:t xml:space="preserve">and modeling </w:t>
      </w:r>
      <w:r w:rsidR="003F282C">
        <w:t>uncertainty as Bayesian probability (</w:t>
      </w:r>
      <w:r w:rsidR="003601BD">
        <w:t xml:space="preserve">Howard, 1968; </w:t>
      </w:r>
      <w:r w:rsidR="00937BA2">
        <w:t xml:space="preserve">Howard, 1988; </w:t>
      </w:r>
      <w:proofErr w:type="spellStart"/>
      <w:r w:rsidR="00AE3180">
        <w:t>Clemen</w:t>
      </w:r>
      <w:proofErr w:type="spellEnd"/>
      <w:r w:rsidR="00AE3180">
        <w:t>, 1996</w:t>
      </w:r>
      <w:r w:rsidR="004C6D94">
        <w:t xml:space="preserve">; </w:t>
      </w:r>
      <w:proofErr w:type="spellStart"/>
      <w:r w:rsidR="004C6D94">
        <w:t>Jaynes</w:t>
      </w:r>
      <w:proofErr w:type="spellEnd"/>
      <w:r w:rsidR="004C6D94">
        <w:t xml:space="preserve">, </w:t>
      </w:r>
      <w:r w:rsidR="004C6D94">
        <w:lastRenderedPageBreak/>
        <w:t>2003).</w:t>
      </w:r>
      <w:r w:rsidR="00234A31">
        <w:t xml:space="preserve">  In Section 3, the treatment of uncertainty using probabilistic definitions of assessment variables is discussed specifically.  Here, we introduce a few concepts that Section 3 will build on.</w:t>
      </w:r>
    </w:p>
    <w:p w14:paraId="2EAA4F35" w14:textId="77777777" w:rsidR="00C53C3D" w:rsidRDefault="00C53C3D" w:rsidP="00C53C3D">
      <w:pPr>
        <w:pStyle w:val="Heading4"/>
      </w:pPr>
      <w:r>
        <w:t>Sources of uncertainty</w:t>
      </w:r>
    </w:p>
    <w:p w14:paraId="56AD6870" w14:textId="6F499A73" w:rsidR="00C53C3D" w:rsidRDefault="00C53C3D" w:rsidP="00C53C3D">
      <w:r>
        <w:t xml:space="preserve">Uncertainty is, of course, pervasive in ecological management and recovery planning (Maier et al., 2008).  There are multiple possible taxonomies of uncertainty relevant to scientific information and environmental decision support with a large multidisciplinary literature to choose from.  The taxonomy proposed by Regan et al. (2002) is adopted here because of its useful distinction between epistemic uncertainty, which refers to our uncertainty in the knowledge and information associated with the states and behaviors of systems, and linguistic uncertainty, which refers to our uncertainty arising from the ambiguity, vagueness, and context dependence inherent in natural language.  In expert elicitation within complex endeavors like ecosystem pressures assessment, we seek to minimize the linguistic uncertainty (error) introduced due to different experts assuming different contexts, ambiguous or vague terminology, and other sources of indeterminacy and under-specificity.  The admittedly ambitious goal is for the uncertainty expressed by experts to reflect epistemic uncertainty due incomplete knowledge, lack of data, natural </w:t>
      </w:r>
      <w:r w:rsidR="008B0506">
        <w:t xml:space="preserve">(irreducible) </w:t>
      </w:r>
      <w:r>
        <w:t>variation, and other non-linguistic sources of uncertainty.</w:t>
      </w:r>
    </w:p>
    <w:p w14:paraId="558C75C4" w14:textId="77777777" w:rsidR="00C53C3D" w:rsidRDefault="00C53C3D" w:rsidP="00C53C3D">
      <w:pPr>
        <w:pStyle w:val="Heading4"/>
      </w:pPr>
      <w:r>
        <w:t>Reducing biases in uncertainty elicitations</w:t>
      </w:r>
    </w:p>
    <w:p w14:paraId="088EBB52" w14:textId="77777777" w:rsidR="00C53C3D" w:rsidRDefault="00C53C3D" w:rsidP="00C53C3D">
      <w:r>
        <w:t xml:space="preserve">In a set of landmark studies, Amos </w:t>
      </w:r>
      <w:proofErr w:type="spellStart"/>
      <w:r>
        <w:t>Tversky</w:t>
      </w:r>
      <w:proofErr w:type="spellEnd"/>
      <w:r>
        <w:t xml:space="preserve"> and Daniel </w:t>
      </w:r>
      <w:proofErr w:type="spellStart"/>
      <w:r>
        <w:t>Kahneman</w:t>
      </w:r>
      <w:proofErr w:type="spellEnd"/>
      <w:r>
        <w:t xml:space="preserve"> documented that people use a limited number of imperfect heuristics to reduce the cognitive complexities involved in probabilistic reasoning to simpler operations.  Such heuristics are quite useful in sense that they allow people to make quick determinations about complex information, but they lead to predictable (and sometimes severely flawed) biases (</w:t>
      </w:r>
      <w:proofErr w:type="spellStart"/>
      <w:r>
        <w:t>Tversky</w:t>
      </w:r>
      <w:proofErr w:type="spellEnd"/>
      <w:r>
        <w:t xml:space="preserve"> and </w:t>
      </w:r>
      <w:proofErr w:type="spellStart"/>
      <w:r>
        <w:t>Kahneman</w:t>
      </w:r>
      <w:proofErr w:type="spellEnd"/>
      <w:r>
        <w:t xml:space="preserve">, 1974).  Formal studies of the issue of the “predictable biases” involved in judgment under uncertainty have resulted in various approaches being developed to deal with them, including visual aids, lottery/betting frameworks, scoring rules, etc.    The use of demonstrated techniques (Morgan and </w:t>
      </w:r>
      <w:proofErr w:type="spellStart"/>
      <w:r>
        <w:t>Henrion</w:t>
      </w:r>
      <w:proofErr w:type="spellEnd"/>
      <w:r>
        <w:t xml:space="preserve">, 1990) for reducing biases and fostering useful discussions of uncertainty between experts will be an important part of the model elicitation workshops, as described in the last section. </w:t>
      </w:r>
    </w:p>
    <w:p w14:paraId="66B4E778" w14:textId="77777777" w:rsidR="00C53C3D" w:rsidRDefault="00C53C3D" w:rsidP="00C53C3D">
      <w:pPr>
        <w:pStyle w:val="Heading4"/>
      </w:pPr>
      <w:r>
        <w:t>Unfamiliarity with Bayesian probability models of uncertainty</w:t>
      </w:r>
    </w:p>
    <w:p w14:paraId="4520C6A7" w14:textId="77777777" w:rsidR="00C53C3D" w:rsidRDefault="00C53C3D" w:rsidP="00C53C3D">
      <w:r>
        <w:t xml:space="preserve">Since many natural scientists are not well acquainted with the use of Bayesian (subjective) probability or the use of conditional probability to describe uncertainty, various approaches have been developed to facilitate the elicitation process, dealing with the problems of ease-of-use and well-documented biases.  Studies demonstrate that the use of probabilities, odds, log-odds, ranges, etc. in probabilistic assessments converge when administered well, with a widely accepted conclusion that choosing an approach that matches the cognitive style, technical background, and preferences of the experts involved is the more important consideration (Morgan and </w:t>
      </w:r>
      <w:proofErr w:type="spellStart"/>
      <w:r>
        <w:t>Henrion</w:t>
      </w:r>
      <w:proofErr w:type="spellEnd"/>
      <w:r>
        <w:t xml:space="preserve">, 1990).  </w:t>
      </w:r>
    </w:p>
    <w:p w14:paraId="2816AC98" w14:textId="36279139" w:rsidR="00AE113E" w:rsidRDefault="00471E70" w:rsidP="000D2EE7">
      <w:pPr>
        <w:pStyle w:val="Heading2"/>
      </w:pPr>
      <w:bookmarkStart w:id="8" w:name="_Toc256149260"/>
      <w:r>
        <w:t xml:space="preserve">2. </w:t>
      </w:r>
      <w:r w:rsidR="00FC636E">
        <w:t>Pressure</w:t>
      </w:r>
      <w:r w:rsidR="00394BA9">
        <w:t>s</w:t>
      </w:r>
      <w:r w:rsidR="00FC636E">
        <w:t xml:space="preserve"> assessment approaches considered</w:t>
      </w:r>
      <w:bookmarkEnd w:id="8"/>
    </w:p>
    <w:p w14:paraId="269C2B7C" w14:textId="68A95216" w:rsidR="00362F09" w:rsidRDefault="00B26774" w:rsidP="00003D28">
      <w:r>
        <w:t xml:space="preserve">In this section, we </w:t>
      </w:r>
      <w:r w:rsidR="00723502">
        <w:t xml:space="preserve">briefly </w:t>
      </w:r>
      <w:r>
        <w:t>describe three broad approaches to conducting a comprehensive regional ecosystem pressures assessment</w:t>
      </w:r>
      <w:r w:rsidR="00075638">
        <w:t>: 1) ecological vulnerability</w:t>
      </w:r>
      <w:r w:rsidR="00723502">
        <w:t xml:space="preserve"> assessment</w:t>
      </w:r>
      <w:r w:rsidR="00075638">
        <w:t>; 2) DPSIR</w:t>
      </w:r>
      <w:r w:rsidR="00723502">
        <w:t xml:space="preserve"> models</w:t>
      </w:r>
      <w:r w:rsidR="00075638">
        <w:t xml:space="preserve">; and 3) </w:t>
      </w:r>
      <w:r w:rsidR="00075638">
        <w:lastRenderedPageBreak/>
        <w:t>ecological risk assessment</w:t>
      </w:r>
      <w:r>
        <w:t>.</w:t>
      </w:r>
      <w:r w:rsidR="00075638">
        <w:t xml:space="preserve">  </w:t>
      </w:r>
      <w:r w:rsidR="00CF5628">
        <w:t xml:space="preserve">The need for comprehensive assessments of the many anthropogenic pressures impacting coastal ecosystems has been broadly recognized (MEA, 2005, Crain et al. 2009).  </w:t>
      </w:r>
      <w:r w:rsidR="001C1E64">
        <w:t>Given the large number of combinations of pressures and assessment endpoints and the scales of interest for any given regional or larger assessment, the paucity of appropriate data to support analytical approaches to meet this need is also broadly recognized</w:t>
      </w:r>
      <w:r w:rsidR="00BD05EC">
        <w:t>, and holds true in Puget Sound</w:t>
      </w:r>
      <w:r w:rsidR="001C1E64">
        <w:t xml:space="preserve"> (</w:t>
      </w:r>
      <w:r w:rsidR="00643D03">
        <w:t xml:space="preserve">PSAT, 2005; </w:t>
      </w:r>
      <w:r w:rsidR="001C1E64">
        <w:t xml:space="preserve">Halpern et al., 2009; Crain et al., 2009; </w:t>
      </w:r>
      <w:r w:rsidR="00643D03">
        <w:t xml:space="preserve">De Lange et al., 2010; PSP, 2010; </w:t>
      </w:r>
      <w:r w:rsidR="001C1E64">
        <w:t xml:space="preserve">HELCOM, 2010; </w:t>
      </w:r>
      <w:proofErr w:type="spellStart"/>
      <w:r w:rsidR="001C1E64">
        <w:t>Kappel</w:t>
      </w:r>
      <w:proofErr w:type="spellEnd"/>
      <w:r w:rsidR="001C1E64">
        <w:t xml:space="preserve"> et al., 2012</w:t>
      </w:r>
      <w:r w:rsidR="00643D03">
        <w:t>; PSP, 2012</w:t>
      </w:r>
      <w:r w:rsidR="001C1E64">
        <w:t xml:space="preserve">).  </w:t>
      </w:r>
      <w:r w:rsidR="00D54A72">
        <w:t xml:space="preserve">For our purposes, a </w:t>
      </w:r>
      <w:r w:rsidR="00D54A72" w:rsidRPr="00466469">
        <w:t>comprehensive consideration of all relevant stressor/endpoint combinat</w:t>
      </w:r>
      <w:r w:rsidR="009E6D1E" w:rsidRPr="00466469">
        <w:t xml:space="preserve">ions is necessary, and only an </w:t>
      </w:r>
      <w:r w:rsidR="00D54A72" w:rsidRPr="00466469">
        <w:t>expert elicitation-based</w:t>
      </w:r>
      <w:r w:rsidR="00FC0F4D">
        <w:rPr>
          <w:rStyle w:val="FootnoteReference"/>
        </w:rPr>
        <w:footnoteReference w:id="5"/>
      </w:r>
      <w:r w:rsidR="00D54A72" w:rsidRPr="00466469">
        <w:t xml:space="preserve"> approach </w:t>
      </w:r>
      <w:r w:rsidR="00AE5A42">
        <w:t xml:space="preserve">to intrinsic vulnerability assessment </w:t>
      </w:r>
      <w:r w:rsidR="0002450C" w:rsidRPr="00466469">
        <w:t xml:space="preserve">supports </w:t>
      </w:r>
      <w:r w:rsidR="00410164">
        <w:t>this need for comprehensiveness</w:t>
      </w:r>
      <w:r w:rsidR="0002450C" w:rsidRPr="00466469">
        <w:t xml:space="preserve"> at present.  </w:t>
      </w:r>
      <w:r w:rsidR="00CA3B12" w:rsidRPr="00466469">
        <w:t>While any of the three approaches described could</w:t>
      </w:r>
      <w:r w:rsidR="009C1B43" w:rsidRPr="00466469">
        <w:t>, in theory,</w:t>
      </w:r>
      <w:r w:rsidR="00CA3B12" w:rsidRPr="00466469">
        <w:t xml:space="preserve"> be performed using expert elicitation, </w:t>
      </w:r>
      <w:r w:rsidR="00410164">
        <w:t>t</w:t>
      </w:r>
      <w:r w:rsidR="00CA3B12" w:rsidRPr="00466469">
        <w:t xml:space="preserve">he ecological vulnerability assessment approach has </w:t>
      </w:r>
      <w:r w:rsidR="00410164">
        <w:t>several significant applications at regional and larger scales (</w:t>
      </w:r>
      <w:r w:rsidR="00410164" w:rsidRPr="00410164">
        <w:rPr>
          <w:i/>
        </w:rPr>
        <w:t>ibid.</w:t>
      </w:r>
      <w:r w:rsidR="00410164">
        <w:t xml:space="preserve">). </w:t>
      </w:r>
      <w:r w:rsidR="0002450C" w:rsidRPr="00466469">
        <w:t xml:space="preserve">Our </w:t>
      </w:r>
      <w:r w:rsidR="00A142F1" w:rsidRPr="00466469">
        <w:t xml:space="preserve">goal is to develop </w:t>
      </w:r>
      <w:r w:rsidR="0002450C" w:rsidRPr="00466469">
        <w:t xml:space="preserve">a </w:t>
      </w:r>
      <w:r w:rsidR="0002450C" w:rsidRPr="00466469">
        <w:rPr>
          <w:shd w:val="clear" w:color="auto" w:fill="FFFFFF"/>
        </w:rPr>
        <w:t>foundational baseline assessment that can be refined and improved upon in the future</w:t>
      </w:r>
      <w:r w:rsidR="00A142F1" w:rsidRPr="00466469">
        <w:rPr>
          <w:shd w:val="clear" w:color="auto" w:fill="FFFFFF"/>
        </w:rPr>
        <w:t>, as data is collected, synthetic models are developed and improved, and new information is developed and interpreted</w:t>
      </w:r>
      <w:r w:rsidR="0002450C" w:rsidRPr="00466469">
        <w:rPr>
          <w:shd w:val="clear" w:color="auto" w:fill="FFFFFF"/>
        </w:rPr>
        <w:t>.</w:t>
      </w:r>
    </w:p>
    <w:p w14:paraId="43CF3656" w14:textId="642540CA" w:rsidR="00AF599A" w:rsidRDefault="0095789C" w:rsidP="00766B9A">
      <w:pPr>
        <w:pStyle w:val="Heading3"/>
        <w:keepNext/>
        <w:keepLines/>
        <w:widowControl/>
      </w:pPr>
      <w:bookmarkStart w:id="9" w:name="_Toc256149261"/>
      <w:r>
        <w:t>Ecological vulnerability approaches</w:t>
      </w:r>
      <w:bookmarkEnd w:id="9"/>
    </w:p>
    <w:p w14:paraId="05CA5B42" w14:textId="585154EB" w:rsidR="000D2EE7" w:rsidRDefault="006B5837" w:rsidP="00766B9A">
      <w:pPr>
        <w:keepNext/>
        <w:keepLines/>
        <w:widowControl/>
        <w:rPr>
          <w:rFonts w:eastAsiaTheme="minorEastAsia" w:cs="TimesNewRomanPSMT"/>
          <w:color w:val="auto"/>
        </w:rPr>
      </w:pPr>
      <w:r w:rsidRPr="006B5837">
        <w:rPr>
          <w:rFonts w:eastAsiaTheme="minorEastAsia" w:cs="TimesNewRomanPSMT"/>
          <w:color w:val="auto"/>
        </w:rPr>
        <w:t>From the perspe</w:t>
      </w:r>
      <w:r>
        <w:rPr>
          <w:rFonts w:eastAsiaTheme="minorEastAsia" w:cs="TimesNewRomanPSMT"/>
          <w:color w:val="auto"/>
        </w:rPr>
        <w:t xml:space="preserve">ctive of ecological vulnerability approaches, </w:t>
      </w:r>
      <w:r w:rsidR="00363C89">
        <w:rPr>
          <w:rFonts w:eastAsiaTheme="minorEastAsia" w:cs="TimesNewRomanPSMT"/>
          <w:color w:val="auto"/>
        </w:rPr>
        <w:t>how</w:t>
      </w:r>
      <w:r w:rsidR="000D2EE7" w:rsidRPr="006B5837">
        <w:rPr>
          <w:rFonts w:eastAsiaTheme="minorEastAsia" w:cs="TimesNewRomanPSMT"/>
          <w:color w:val="auto"/>
        </w:rPr>
        <w:t xml:space="preserve"> a stressor</w:t>
      </w:r>
      <w:r>
        <w:rPr>
          <w:rFonts w:eastAsiaTheme="minorEastAsia" w:cs="TimesNewRomanPSMT"/>
          <w:color w:val="auto"/>
        </w:rPr>
        <w:t xml:space="preserve"> </w:t>
      </w:r>
      <w:r w:rsidR="000D2EE7" w:rsidRPr="006B5837">
        <w:rPr>
          <w:rFonts w:eastAsiaTheme="minorEastAsia" w:cs="TimesNewRomanPSMT"/>
          <w:color w:val="auto"/>
        </w:rPr>
        <w:t xml:space="preserve">affects a particular ecosystem </w:t>
      </w:r>
      <w:r w:rsidR="00766B9A">
        <w:rPr>
          <w:rFonts w:eastAsiaTheme="minorEastAsia" w:cs="TimesNewRomanPSMT"/>
          <w:color w:val="auto"/>
        </w:rPr>
        <w:t xml:space="preserve">component </w:t>
      </w:r>
      <w:r w:rsidR="00363C89">
        <w:rPr>
          <w:rFonts w:eastAsiaTheme="minorEastAsia" w:cs="TimesNewRomanPSMT"/>
          <w:color w:val="auto"/>
        </w:rPr>
        <w:t xml:space="preserve">(i.e., assessment component) </w:t>
      </w:r>
      <w:r w:rsidR="000D2EE7" w:rsidRPr="006B5837">
        <w:rPr>
          <w:rFonts w:eastAsiaTheme="minorEastAsia" w:cs="TimesNewRomanPSMT"/>
          <w:color w:val="auto"/>
        </w:rPr>
        <w:t>depends</w:t>
      </w:r>
      <w:r w:rsidR="00766B9A">
        <w:rPr>
          <w:rFonts w:eastAsiaTheme="minorEastAsia" w:cs="TimesNewRomanPSMT"/>
          <w:color w:val="auto"/>
        </w:rPr>
        <w:t xml:space="preserve"> in </w:t>
      </w:r>
      <w:r w:rsidR="00363C89">
        <w:rPr>
          <w:rFonts w:eastAsiaTheme="minorEastAsia" w:cs="TimesNewRomanPSMT"/>
          <w:color w:val="auto"/>
        </w:rPr>
        <w:t>large</w:t>
      </w:r>
      <w:r w:rsidR="00766B9A">
        <w:rPr>
          <w:rFonts w:eastAsiaTheme="minorEastAsia" w:cs="TimesNewRomanPSMT"/>
          <w:color w:val="auto"/>
        </w:rPr>
        <w:t xml:space="preserve"> part</w:t>
      </w:r>
      <w:r w:rsidR="000D2EE7" w:rsidRPr="006B5837">
        <w:rPr>
          <w:rFonts w:eastAsiaTheme="minorEastAsia" w:cs="TimesNewRomanPSMT"/>
          <w:color w:val="auto"/>
        </w:rPr>
        <w:t xml:space="preserve"> on </w:t>
      </w:r>
      <w:r w:rsidR="00766B9A">
        <w:rPr>
          <w:rFonts w:eastAsiaTheme="minorEastAsia" w:cs="TimesNewRomanPSMT"/>
          <w:color w:val="auto"/>
        </w:rPr>
        <w:t>its</w:t>
      </w:r>
      <w:r w:rsidR="000D2EE7" w:rsidRPr="006B5837">
        <w:rPr>
          <w:rFonts w:eastAsiaTheme="minorEastAsia" w:cs="TimesNewRomanPSMT"/>
          <w:color w:val="auto"/>
        </w:rPr>
        <w:t xml:space="preserve"> </w:t>
      </w:r>
      <w:r w:rsidR="000D2EE7" w:rsidRPr="006B5837">
        <w:rPr>
          <w:rFonts w:eastAsiaTheme="minorEastAsia"/>
          <w:i/>
          <w:iCs/>
          <w:color w:val="auto"/>
        </w:rPr>
        <w:t>vulnerability</w:t>
      </w:r>
      <w:r w:rsidR="000D2EE7" w:rsidRPr="006B5837">
        <w:rPr>
          <w:rFonts w:eastAsiaTheme="minorEastAsia" w:cs="TimesNewRomanPSMT"/>
          <w:color w:val="auto"/>
        </w:rPr>
        <w:t xml:space="preserve">. </w:t>
      </w:r>
      <w:r w:rsidR="0041066A">
        <w:rPr>
          <w:rFonts w:eastAsiaTheme="minorEastAsia" w:cs="TimesNewRomanPSMT"/>
          <w:color w:val="auto"/>
        </w:rPr>
        <w:t>In typical definitions, v</w:t>
      </w:r>
      <w:r w:rsidR="000D2EE7" w:rsidRPr="006B5837">
        <w:rPr>
          <w:rFonts w:eastAsiaTheme="minorEastAsia" w:cs="TimesNewRomanPSMT"/>
          <w:color w:val="auto"/>
        </w:rPr>
        <w:t>ulnerability i</w:t>
      </w:r>
      <w:r>
        <w:rPr>
          <w:rFonts w:eastAsiaTheme="minorEastAsia" w:cs="TimesNewRomanPSMT"/>
          <w:color w:val="auto"/>
        </w:rPr>
        <w:t xml:space="preserve">s </w:t>
      </w:r>
      <w:r w:rsidR="00A0300A">
        <w:rPr>
          <w:rFonts w:eastAsiaTheme="minorEastAsia" w:cs="TimesNewRomanPSMT"/>
          <w:color w:val="auto"/>
        </w:rPr>
        <w:t>determined</w:t>
      </w:r>
      <w:r>
        <w:rPr>
          <w:rFonts w:eastAsiaTheme="minorEastAsia" w:cs="TimesNewRomanPSMT"/>
          <w:color w:val="auto"/>
        </w:rPr>
        <w:t xml:space="preserve"> by</w:t>
      </w:r>
      <w:r w:rsidR="00A0300A">
        <w:rPr>
          <w:rFonts w:eastAsiaTheme="minorEastAsia" w:cs="TimesNewRomanPSMT"/>
          <w:color w:val="auto"/>
        </w:rPr>
        <w:t xml:space="preserve"> 1)</w:t>
      </w:r>
      <w:r>
        <w:rPr>
          <w:rFonts w:eastAsiaTheme="minorEastAsia" w:cs="TimesNewRomanPSMT"/>
          <w:color w:val="auto"/>
        </w:rPr>
        <w:t xml:space="preserve"> </w:t>
      </w:r>
      <w:r w:rsidR="000D2EE7" w:rsidRPr="006B5837">
        <w:rPr>
          <w:rFonts w:eastAsiaTheme="minorEastAsia"/>
          <w:i/>
          <w:iCs/>
          <w:color w:val="auto"/>
        </w:rPr>
        <w:t>exposure</w:t>
      </w:r>
      <w:r w:rsidR="00A0300A">
        <w:rPr>
          <w:rFonts w:eastAsiaTheme="minorEastAsia" w:cs="TimesNewRomanPSMT"/>
          <w:color w:val="auto"/>
        </w:rPr>
        <w:t xml:space="preserve">, which represents the expected degree to which an </w:t>
      </w:r>
      <w:r w:rsidR="00906227">
        <w:rPr>
          <w:rFonts w:eastAsiaTheme="minorEastAsia" w:cs="TimesNewRomanPSMT"/>
          <w:color w:val="auto"/>
        </w:rPr>
        <w:t>ecosystem component</w:t>
      </w:r>
      <w:r w:rsidR="00A0300A">
        <w:rPr>
          <w:rFonts w:eastAsiaTheme="minorEastAsia" w:cs="TimesNewRomanPSMT"/>
          <w:color w:val="auto"/>
        </w:rPr>
        <w:t xml:space="preserve"> may</w:t>
      </w:r>
      <w:r w:rsidR="000D2EE7" w:rsidRPr="006B5837">
        <w:rPr>
          <w:rFonts w:eastAsiaTheme="minorEastAsia" w:cs="TimesNewRomanPSMT"/>
          <w:color w:val="auto"/>
        </w:rPr>
        <w:t xml:space="preserve"> </w:t>
      </w:r>
      <w:r w:rsidR="00A0300A">
        <w:rPr>
          <w:rFonts w:eastAsiaTheme="minorEastAsia" w:cs="TimesNewRomanPSMT"/>
          <w:color w:val="auto"/>
        </w:rPr>
        <w:t>experience</w:t>
      </w:r>
      <w:r w:rsidR="000D2EE7" w:rsidRPr="006B5837">
        <w:rPr>
          <w:rFonts w:eastAsiaTheme="minorEastAsia" w:cs="TimesNewRomanPSMT"/>
          <w:color w:val="auto"/>
        </w:rPr>
        <w:t xml:space="preserve"> a given stressor</w:t>
      </w:r>
      <w:r w:rsidR="00766B9A">
        <w:rPr>
          <w:rFonts w:eastAsiaTheme="minorEastAsia" w:cs="TimesNewRomanPSMT"/>
          <w:color w:val="auto"/>
        </w:rPr>
        <w:t xml:space="preserve"> when typically exposed</w:t>
      </w:r>
      <w:r w:rsidR="000D2EE7" w:rsidRPr="006B5837">
        <w:rPr>
          <w:rFonts w:eastAsiaTheme="minorEastAsia" w:cs="TimesNewRomanPSMT"/>
          <w:color w:val="auto"/>
        </w:rPr>
        <w:t xml:space="preserve">; </w:t>
      </w:r>
      <w:r w:rsidR="00A0300A">
        <w:rPr>
          <w:rFonts w:eastAsiaTheme="minorEastAsia" w:cs="TimesNewRomanPSMT"/>
          <w:color w:val="auto"/>
        </w:rPr>
        <w:t xml:space="preserve">2) </w:t>
      </w:r>
      <w:r w:rsidR="000D2EE7" w:rsidRPr="006B5837">
        <w:rPr>
          <w:rFonts w:eastAsiaTheme="minorEastAsia"/>
          <w:i/>
          <w:iCs/>
          <w:color w:val="auto"/>
        </w:rPr>
        <w:t>sensitivity</w:t>
      </w:r>
      <w:r w:rsidR="00E1710D">
        <w:rPr>
          <w:rFonts w:eastAsiaTheme="minorEastAsia" w:cs="TimesNewRomanPSMT"/>
          <w:color w:val="auto"/>
        </w:rPr>
        <w:t xml:space="preserve">, </w:t>
      </w:r>
      <w:r w:rsidR="000D2EE7" w:rsidRPr="006B5837">
        <w:rPr>
          <w:rFonts w:eastAsiaTheme="minorEastAsia" w:cs="TimesNewRomanPSMT"/>
          <w:color w:val="auto"/>
        </w:rPr>
        <w:t xml:space="preserve">which represents the </w:t>
      </w:r>
      <w:r w:rsidR="00A0300A">
        <w:rPr>
          <w:rFonts w:eastAsiaTheme="minorEastAsia" w:cs="TimesNewRomanPSMT"/>
          <w:color w:val="auto"/>
        </w:rPr>
        <w:t xml:space="preserve">expected </w:t>
      </w:r>
      <w:r w:rsidR="000D2EE7" w:rsidRPr="006B5837">
        <w:rPr>
          <w:rFonts w:eastAsiaTheme="minorEastAsia" w:cs="TimesNewRomanPSMT"/>
          <w:color w:val="auto"/>
        </w:rPr>
        <w:t xml:space="preserve">degree to which </w:t>
      </w:r>
      <w:r w:rsidR="00440C95">
        <w:rPr>
          <w:rFonts w:eastAsiaTheme="minorEastAsia" w:cs="TimesNewRomanPSMT"/>
          <w:color w:val="auto"/>
        </w:rPr>
        <w:t xml:space="preserve">a community or other </w:t>
      </w:r>
      <w:r w:rsidR="000D2EE7" w:rsidRPr="006B5837">
        <w:rPr>
          <w:rFonts w:eastAsiaTheme="minorEastAsia" w:cs="TimesNewRomanPSMT"/>
          <w:color w:val="auto"/>
        </w:rPr>
        <w:t xml:space="preserve">ecosystem </w:t>
      </w:r>
      <w:r w:rsidR="00440C95">
        <w:rPr>
          <w:rFonts w:eastAsiaTheme="minorEastAsia" w:cs="TimesNewRomanPSMT"/>
          <w:color w:val="auto"/>
        </w:rPr>
        <w:t xml:space="preserve">component </w:t>
      </w:r>
      <w:r w:rsidR="00A0300A">
        <w:rPr>
          <w:rFonts w:eastAsiaTheme="minorEastAsia" w:cs="TimesNewRomanPSMT"/>
          <w:color w:val="auto"/>
        </w:rPr>
        <w:t>would</w:t>
      </w:r>
      <w:r w:rsidR="000D2EE7" w:rsidRPr="006B5837">
        <w:rPr>
          <w:rFonts w:eastAsiaTheme="minorEastAsia" w:cs="TimesNewRomanPSMT"/>
          <w:color w:val="auto"/>
        </w:rPr>
        <w:t xml:space="preserve"> be a</w:t>
      </w:r>
      <w:r w:rsidR="00A0300A">
        <w:rPr>
          <w:rFonts w:eastAsiaTheme="minorEastAsia" w:cs="TimesNewRomanPSMT"/>
          <w:color w:val="auto"/>
        </w:rPr>
        <w:t xml:space="preserve">ffected by the stressor; and 3) </w:t>
      </w:r>
      <w:r w:rsidR="000D2EE7" w:rsidRPr="006B5837">
        <w:rPr>
          <w:rFonts w:eastAsiaTheme="minorEastAsia"/>
          <w:i/>
          <w:iCs/>
          <w:color w:val="auto"/>
        </w:rPr>
        <w:t>resilience</w:t>
      </w:r>
      <w:r w:rsidR="00E1710D">
        <w:rPr>
          <w:rFonts w:eastAsiaTheme="minorEastAsia" w:cs="TimesNewRomanPSMT"/>
          <w:color w:val="auto"/>
        </w:rPr>
        <w:t xml:space="preserve">, </w:t>
      </w:r>
      <w:r w:rsidR="000D2EE7" w:rsidRPr="006B5837">
        <w:rPr>
          <w:rFonts w:eastAsiaTheme="minorEastAsia" w:cs="TimesNewRomanPSMT"/>
          <w:color w:val="auto"/>
        </w:rPr>
        <w:t xml:space="preserve">which represents the ability of the affected </w:t>
      </w:r>
      <w:r w:rsidR="00A0300A">
        <w:rPr>
          <w:rFonts w:eastAsiaTheme="minorEastAsia" w:cs="TimesNewRomanPSMT"/>
          <w:color w:val="auto"/>
        </w:rPr>
        <w:t xml:space="preserve">assessment endpoint </w:t>
      </w:r>
      <w:r w:rsidR="000D2EE7" w:rsidRPr="006B5837">
        <w:rPr>
          <w:rFonts w:eastAsiaTheme="minorEastAsia" w:cs="TimesNewRomanPSMT"/>
          <w:color w:val="auto"/>
        </w:rPr>
        <w:t xml:space="preserve">to </w:t>
      </w:r>
      <w:r w:rsidR="00E1710D">
        <w:rPr>
          <w:rFonts w:eastAsiaTheme="minorEastAsia" w:cs="TimesNewRomanPSMT"/>
          <w:color w:val="auto"/>
        </w:rPr>
        <w:t xml:space="preserve">recover from disturbance caused </w:t>
      </w:r>
      <w:r w:rsidR="000D2EE7" w:rsidRPr="006B5837">
        <w:rPr>
          <w:rFonts w:eastAsiaTheme="minorEastAsia" w:cs="TimesNewRomanPSMT"/>
          <w:color w:val="auto"/>
        </w:rPr>
        <w:t xml:space="preserve">by the stressor </w:t>
      </w:r>
      <w:r w:rsidR="00E1710D">
        <w:rPr>
          <w:rFonts w:eastAsiaTheme="minorEastAsia" w:cs="TimesNewRomanPSMT"/>
          <w:color w:val="auto"/>
        </w:rPr>
        <w:t>(</w:t>
      </w:r>
      <w:r w:rsidR="006541A7">
        <w:rPr>
          <w:rFonts w:eastAsiaTheme="minorEastAsia" w:cs="TimesNewRomanPSMT"/>
          <w:color w:val="auto"/>
        </w:rPr>
        <w:t xml:space="preserve">Turner et al., 2003; </w:t>
      </w:r>
      <w:r w:rsidR="00E1710D">
        <w:rPr>
          <w:rFonts w:eastAsiaTheme="minorEastAsia" w:cs="TimesNewRomanPSMT"/>
          <w:color w:val="auto"/>
        </w:rPr>
        <w:t>De Lange</w:t>
      </w:r>
      <w:r w:rsidR="006541A7">
        <w:rPr>
          <w:rFonts w:eastAsiaTheme="minorEastAsia" w:cs="TimesNewRomanPSMT"/>
          <w:color w:val="auto"/>
        </w:rPr>
        <w:t xml:space="preserve"> et al.</w:t>
      </w:r>
      <w:r w:rsidR="00E1710D">
        <w:rPr>
          <w:rFonts w:eastAsiaTheme="minorEastAsia" w:cs="TimesNewRomanPSMT"/>
          <w:color w:val="auto"/>
        </w:rPr>
        <w:t xml:space="preserve">, 2010; </w:t>
      </w:r>
      <w:proofErr w:type="spellStart"/>
      <w:r w:rsidR="00E1710D">
        <w:rPr>
          <w:rFonts w:eastAsiaTheme="minorEastAsia" w:cs="TimesNewRomanPSMT"/>
          <w:color w:val="auto"/>
        </w:rPr>
        <w:t>Kappel</w:t>
      </w:r>
      <w:proofErr w:type="spellEnd"/>
      <w:r w:rsidR="00E1710D">
        <w:rPr>
          <w:rFonts w:eastAsiaTheme="minorEastAsia" w:cs="TimesNewRomanPSMT"/>
          <w:color w:val="auto"/>
        </w:rPr>
        <w:t xml:space="preserve"> et al., </w:t>
      </w:r>
      <w:r w:rsidR="00A0300A">
        <w:rPr>
          <w:rFonts w:eastAsiaTheme="minorEastAsia" w:cs="TimesNewRomanPSMT"/>
          <w:color w:val="auto"/>
        </w:rPr>
        <w:t>2012).</w:t>
      </w:r>
      <w:r w:rsidR="00766B9A">
        <w:rPr>
          <w:rFonts w:eastAsiaTheme="minorEastAsia" w:cs="TimesNewRomanPSMT"/>
          <w:color w:val="auto"/>
        </w:rPr>
        <w:t xml:space="preserve">  As described in Section 1, “Mapping pressures and impacts”, a spatially-explicit characterization of expected ecosystem impacts involves consideration of the ecological vulnerability of an assessment endpoint for a given stressor, as well as information on the magnitude and spatial and temporal distribution of the pressure intensity (or similar measure) and the spatial distribution of the assessment endpoint.</w:t>
      </w:r>
    </w:p>
    <w:p w14:paraId="5DDFB1D1" w14:textId="3FB2CBC2" w:rsidR="00152EE0" w:rsidRDefault="00D37113" w:rsidP="00152EE0">
      <w:r>
        <w:t xml:space="preserve">Williams and </w:t>
      </w:r>
      <w:proofErr w:type="spellStart"/>
      <w:r>
        <w:t>Kapu</w:t>
      </w:r>
      <w:r w:rsidR="00152EE0">
        <w:t>s</w:t>
      </w:r>
      <w:r>
        <w:t>t</w:t>
      </w:r>
      <w:r w:rsidR="00500E03">
        <w:t>k</w:t>
      </w:r>
      <w:r w:rsidR="00152EE0">
        <w:t>a</w:t>
      </w:r>
      <w:proofErr w:type="spellEnd"/>
      <w:r w:rsidR="00152EE0">
        <w:t xml:space="preserve"> (2000) define ecological vulnerability as “potential of an ecosystem to modulate its response to stressors over time and space, where that potential is determined by characteristics of an ecosystem that include many levels of organization. It is an estimate of the inability of an ecosystem to tolerate stressors over time and space.” The concept of ecological vulnerability can be applied at several hierarchical levels, ranging across the levels of organisms, populations, communities, ecosystems, </w:t>
      </w:r>
      <w:r>
        <w:t xml:space="preserve">and </w:t>
      </w:r>
      <w:r w:rsidR="00152EE0">
        <w:t>land</w:t>
      </w:r>
      <w:r>
        <w:t>- and sea</w:t>
      </w:r>
      <w:r w:rsidR="00152EE0">
        <w:t>scapes (</w:t>
      </w:r>
      <w:proofErr w:type="spellStart"/>
      <w:r w:rsidR="00152EE0">
        <w:t>Suter</w:t>
      </w:r>
      <w:proofErr w:type="spellEnd"/>
      <w:r w:rsidR="00152EE0">
        <w:t xml:space="preserve"> et al.,</w:t>
      </w:r>
      <w:r>
        <w:t xml:space="preserve"> 2005; De Lange et al., 2010).</w:t>
      </w:r>
    </w:p>
    <w:p w14:paraId="48D35C15" w14:textId="2CBAB628" w:rsidR="00B1312F" w:rsidRPr="006B5837" w:rsidRDefault="009543A8" w:rsidP="009543A8">
      <w:pPr>
        <w:rPr>
          <w:shd w:val="clear" w:color="auto" w:fill="FFFFFF"/>
        </w:rPr>
      </w:pPr>
      <w:r>
        <w:rPr>
          <w:rFonts w:eastAsiaTheme="minorEastAsia" w:cs="TimesNewRomanPSMT"/>
          <w:color w:val="auto"/>
        </w:rPr>
        <w:t>T</w:t>
      </w:r>
      <w:r>
        <w:rPr>
          <w:shd w:val="clear" w:color="auto" w:fill="FFFFFF"/>
        </w:rPr>
        <w:t xml:space="preserve">he vulnerability of an </w:t>
      </w:r>
      <w:r w:rsidR="00B1312F" w:rsidRPr="006B5837">
        <w:rPr>
          <w:shd w:val="clear" w:color="auto" w:fill="FFFFFF"/>
        </w:rPr>
        <w:t>ecosystem</w:t>
      </w:r>
      <w:r>
        <w:rPr>
          <w:shd w:val="clear" w:color="auto" w:fill="FFFFFF"/>
        </w:rPr>
        <w:t xml:space="preserve"> component</w:t>
      </w:r>
      <w:r w:rsidR="00B1312F" w:rsidRPr="006B5837">
        <w:rPr>
          <w:shd w:val="clear" w:color="auto" w:fill="FFFFFF"/>
        </w:rPr>
        <w:t xml:space="preserve"> is</w:t>
      </w:r>
      <w:r>
        <w:rPr>
          <w:shd w:val="clear" w:color="auto" w:fill="FFFFFF"/>
        </w:rPr>
        <w:t>, of course,</w:t>
      </w:r>
      <w:r w:rsidR="00B1312F" w:rsidRPr="006B5837">
        <w:rPr>
          <w:shd w:val="clear" w:color="auto" w:fill="FFFFFF"/>
        </w:rPr>
        <w:t xml:space="preserve"> a complex issue tha</w:t>
      </w:r>
      <w:r>
        <w:rPr>
          <w:shd w:val="clear" w:color="auto" w:fill="FFFFFF"/>
        </w:rPr>
        <w:t xml:space="preserve">t ideally requires significant knowledge about </w:t>
      </w:r>
      <w:r w:rsidR="00B1312F" w:rsidRPr="006B5837">
        <w:rPr>
          <w:shd w:val="clear" w:color="auto" w:fill="FFFFFF"/>
        </w:rPr>
        <w:t>characteris</w:t>
      </w:r>
      <w:r>
        <w:rPr>
          <w:shd w:val="clear" w:color="auto" w:fill="FFFFFF"/>
        </w:rPr>
        <w:t xml:space="preserve">tics of the </w:t>
      </w:r>
      <w:r w:rsidR="00D37113">
        <w:rPr>
          <w:shd w:val="clear" w:color="auto" w:fill="FFFFFF"/>
        </w:rPr>
        <w:t>abiotic and biotic system</w:t>
      </w:r>
      <w:r>
        <w:rPr>
          <w:shd w:val="clear" w:color="auto" w:fill="FFFFFF"/>
        </w:rPr>
        <w:t xml:space="preserve"> in question</w:t>
      </w:r>
      <w:r w:rsidR="00B1312F" w:rsidRPr="006B5837">
        <w:rPr>
          <w:shd w:val="clear" w:color="auto" w:fill="FFFFFF"/>
        </w:rPr>
        <w:t>, such as</w:t>
      </w:r>
      <w:r w:rsidR="0012313E">
        <w:rPr>
          <w:shd w:val="clear" w:color="auto" w:fill="FFFFFF"/>
        </w:rPr>
        <w:t xml:space="preserve"> (De </w:t>
      </w:r>
      <w:r w:rsidR="0012313E">
        <w:rPr>
          <w:shd w:val="clear" w:color="auto" w:fill="FFFFFF"/>
        </w:rPr>
        <w:lastRenderedPageBreak/>
        <w:t>Lange, 2010)</w:t>
      </w:r>
      <w:r w:rsidR="00B1312F" w:rsidRPr="006B5837">
        <w:rPr>
          <w:shd w:val="clear" w:color="auto" w:fill="FFFFFF"/>
        </w:rPr>
        <w:t>:</w:t>
      </w:r>
    </w:p>
    <w:p w14:paraId="36A4E86F" w14:textId="4265C7C7" w:rsidR="0005293D" w:rsidRDefault="009B3AF0" w:rsidP="00B1312F">
      <w:pPr>
        <w:pStyle w:val="ListParagraph"/>
        <w:widowControl/>
        <w:numPr>
          <w:ilvl w:val="0"/>
          <w:numId w:val="15"/>
        </w:numPr>
        <w:autoSpaceDE/>
        <w:autoSpaceDN/>
        <w:adjustRightInd/>
        <w:spacing w:before="0" w:after="0"/>
        <w:rPr>
          <w:shd w:val="clear" w:color="auto" w:fill="FFFFFF"/>
        </w:rPr>
      </w:pPr>
      <w:r>
        <w:rPr>
          <w:shd w:val="clear" w:color="auto" w:fill="FFFFFF"/>
        </w:rPr>
        <w:t>Details of</w:t>
      </w:r>
      <w:r w:rsidR="00B1312F" w:rsidRPr="0005293D">
        <w:rPr>
          <w:shd w:val="clear" w:color="auto" w:fill="FFFFFF"/>
        </w:rPr>
        <w:t xml:space="preserve"> exposure</w:t>
      </w:r>
      <w:r>
        <w:rPr>
          <w:shd w:val="clear" w:color="auto" w:fill="FFFFFF"/>
        </w:rPr>
        <w:t>, which determine</w:t>
      </w:r>
      <w:r w:rsidR="0005293D" w:rsidRPr="0005293D">
        <w:rPr>
          <w:shd w:val="clear" w:color="auto" w:fill="FFFFFF"/>
        </w:rPr>
        <w:t xml:space="preserve"> </w:t>
      </w:r>
      <w:r>
        <w:rPr>
          <w:shd w:val="clear" w:color="auto" w:fill="FFFFFF"/>
        </w:rPr>
        <w:t>the extent and magnitude of interactions between</w:t>
      </w:r>
      <w:r w:rsidR="00B1312F" w:rsidRPr="0005293D">
        <w:rPr>
          <w:shd w:val="clear" w:color="auto" w:fill="FFFFFF"/>
        </w:rPr>
        <w:t xml:space="preserve"> stressor</w:t>
      </w:r>
      <w:r>
        <w:rPr>
          <w:shd w:val="clear" w:color="auto" w:fill="FFFFFF"/>
        </w:rPr>
        <w:t>s and assessment endpoints;</w:t>
      </w:r>
    </w:p>
    <w:p w14:paraId="0E4E3C8E" w14:textId="154730E0" w:rsidR="009B3AF0" w:rsidRDefault="009B3AF0" w:rsidP="00B1312F">
      <w:pPr>
        <w:pStyle w:val="ListParagraph"/>
        <w:widowControl/>
        <w:numPr>
          <w:ilvl w:val="0"/>
          <w:numId w:val="15"/>
        </w:numPr>
        <w:autoSpaceDE/>
        <w:autoSpaceDN/>
        <w:adjustRightInd/>
        <w:spacing w:before="0" w:after="0"/>
        <w:rPr>
          <w:shd w:val="clear" w:color="auto" w:fill="FFFFFF"/>
        </w:rPr>
      </w:pPr>
      <w:r>
        <w:rPr>
          <w:shd w:val="clear" w:color="auto" w:fill="FFFFFF"/>
        </w:rPr>
        <w:t>C</w:t>
      </w:r>
      <w:r w:rsidR="00B1312F" w:rsidRPr="0005293D">
        <w:rPr>
          <w:shd w:val="clear" w:color="auto" w:fill="FFFFFF"/>
        </w:rPr>
        <w:t>ommunity structure and functioning</w:t>
      </w:r>
      <w:r>
        <w:rPr>
          <w:shd w:val="clear" w:color="auto" w:fill="FFFFFF"/>
        </w:rPr>
        <w:t xml:space="preserve">, including </w:t>
      </w:r>
      <w:r w:rsidR="00B1312F" w:rsidRPr="0005293D">
        <w:rPr>
          <w:shd w:val="clear" w:color="auto" w:fill="FFFFFF"/>
        </w:rPr>
        <w:t>species composition and</w:t>
      </w:r>
      <w:r w:rsidR="0005293D">
        <w:rPr>
          <w:shd w:val="clear" w:color="auto" w:fill="FFFFFF"/>
        </w:rPr>
        <w:t xml:space="preserve"> </w:t>
      </w:r>
      <w:r w:rsidR="00B1312F" w:rsidRPr="0005293D">
        <w:rPr>
          <w:shd w:val="clear" w:color="auto" w:fill="FFFFFF"/>
        </w:rPr>
        <w:t>other aspects of structural biodiversity, and the major functional</w:t>
      </w:r>
      <w:r w:rsidR="0005293D">
        <w:rPr>
          <w:shd w:val="clear" w:color="auto" w:fill="FFFFFF"/>
        </w:rPr>
        <w:t xml:space="preserve"> </w:t>
      </w:r>
      <w:r w:rsidR="00B1312F" w:rsidRPr="0005293D">
        <w:rPr>
          <w:shd w:val="clear" w:color="auto" w:fill="FFFFFF"/>
        </w:rPr>
        <w:t>features of the community</w:t>
      </w:r>
      <w:r w:rsidR="007C447A">
        <w:rPr>
          <w:shd w:val="clear" w:color="auto" w:fill="FFFFFF"/>
        </w:rPr>
        <w:t>;</w:t>
      </w:r>
    </w:p>
    <w:p w14:paraId="65D78FE9" w14:textId="65408885" w:rsidR="0012313E" w:rsidRDefault="0012313E" w:rsidP="00B1312F">
      <w:pPr>
        <w:pStyle w:val="ListParagraph"/>
        <w:widowControl/>
        <w:numPr>
          <w:ilvl w:val="0"/>
          <w:numId w:val="15"/>
        </w:numPr>
        <w:autoSpaceDE/>
        <w:autoSpaceDN/>
        <w:adjustRightInd/>
        <w:spacing w:before="0" w:after="0"/>
        <w:rPr>
          <w:shd w:val="clear" w:color="auto" w:fill="FFFFFF"/>
        </w:rPr>
      </w:pPr>
      <w:r>
        <w:rPr>
          <w:shd w:val="clear" w:color="auto" w:fill="FFFFFF"/>
        </w:rPr>
        <w:t>Community sensitivity, as distributed</w:t>
      </w:r>
      <w:r w:rsidR="00B1312F" w:rsidRPr="009B3AF0">
        <w:rPr>
          <w:shd w:val="clear" w:color="auto" w:fill="FFFFFF"/>
        </w:rPr>
        <w:t xml:space="preserve"> to</w:t>
      </w:r>
      <w:r w:rsidR="009B3AF0">
        <w:rPr>
          <w:shd w:val="clear" w:color="auto" w:fill="FFFFFF"/>
        </w:rPr>
        <w:t xml:space="preserve"> </w:t>
      </w:r>
      <w:r w:rsidR="00B1312F" w:rsidRPr="009B3AF0">
        <w:rPr>
          <w:shd w:val="clear" w:color="auto" w:fill="FFFFFF"/>
        </w:rPr>
        <w:t xml:space="preserve">specific stress factors among the species </w:t>
      </w:r>
      <w:r>
        <w:rPr>
          <w:shd w:val="clear" w:color="auto" w:fill="FFFFFF"/>
        </w:rPr>
        <w:t>making up</w:t>
      </w:r>
      <w:r w:rsidR="007C447A">
        <w:rPr>
          <w:shd w:val="clear" w:color="auto" w:fill="FFFFFF"/>
        </w:rPr>
        <w:t xml:space="preserve"> community;</w:t>
      </w:r>
    </w:p>
    <w:p w14:paraId="3AFA428C" w14:textId="77C23B8B" w:rsidR="0012313E" w:rsidRDefault="0012313E" w:rsidP="00B1312F">
      <w:pPr>
        <w:pStyle w:val="ListParagraph"/>
        <w:widowControl/>
        <w:numPr>
          <w:ilvl w:val="0"/>
          <w:numId w:val="15"/>
        </w:numPr>
        <w:autoSpaceDE/>
        <w:autoSpaceDN/>
        <w:adjustRightInd/>
        <w:spacing w:before="0" w:after="0"/>
        <w:rPr>
          <w:shd w:val="clear" w:color="auto" w:fill="FFFFFF"/>
        </w:rPr>
      </w:pPr>
      <w:r w:rsidRPr="0012313E">
        <w:rPr>
          <w:shd w:val="clear" w:color="auto" w:fill="FFFFFF"/>
        </w:rPr>
        <w:t>E</w:t>
      </w:r>
      <w:r w:rsidR="00B1312F" w:rsidRPr="0012313E">
        <w:rPr>
          <w:shd w:val="clear" w:color="auto" w:fill="FFFFFF"/>
        </w:rPr>
        <w:t xml:space="preserve">cological role of sensitive species </w:t>
      </w:r>
      <w:r>
        <w:rPr>
          <w:shd w:val="clear" w:color="auto" w:fill="FFFFFF"/>
        </w:rPr>
        <w:t>with</w:t>
      </w:r>
      <w:r w:rsidR="00B1312F" w:rsidRPr="0012313E">
        <w:rPr>
          <w:shd w:val="clear" w:color="auto" w:fill="FFFFFF"/>
        </w:rPr>
        <w:t>in the community</w:t>
      </w:r>
      <w:r>
        <w:rPr>
          <w:shd w:val="clear" w:color="auto" w:fill="FFFFFF"/>
        </w:rPr>
        <w:t>, including keynote species and/or species that structure habitats (“ecosystem engineers”)</w:t>
      </w:r>
      <w:r w:rsidR="007C447A">
        <w:rPr>
          <w:shd w:val="clear" w:color="auto" w:fill="FFFFFF"/>
        </w:rPr>
        <w:t>;</w:t>
      </w:r>
    </w:p>
    <w:p w14:paraId="67F51A78" w14:textId="3ED46288" w:rsidR="007C447A" w:rsidRDefault="0012313E" w:rsidP="00B1312F">
      <w:pPr>
        <w:pStyle w:val="ListParagraph"/>
        <w:widowControl/>
        <w:numPr>
          <w:ilvl w:val="0"/>
          <w:numId w:val="15"/>
        </w:numPr>
        <w:autoSpaceDE/>
        <w:autoSpaceDN/>
        <w:adjustRightInd/>
        <w:spacing w:before="0" w:after="0"/>
        <w:rPr>
          <w:shd w:val="clear" w:color="auto" w:fill="FFFFFF"/>
        </w:rPr>
      </w:pPr>
      <w:r>
        <w:rPr>
          <w:shd w:val="clear" w:color="auto" w:fill="FFFFFF"/>
        </w:rPr>
        <w:t xml:space="preserve">Habitat vulnerability, </w:t>
      </w:r>
      <w:r w:rsidR="007C447A">
        <w:rPr>
          <w:shd w:val="clear" w:color="auto" w:fill="FFFFFF"/>
        </w:rPr>
        <w:t xml:space="preserve">described as potential </w:t>
      </w:r>
      <w:r w:rsidR="00B1312F" w:rsidRPr="0012313E">
        <w:rPr>
          <w:shd w:val="clear" w:color="auto" w:fill="FFFFFF"/>
        </w:rPr>
        <w:t xml:space="preserve">habitat changes </w:t>
      </w:r>
      <w:r w:rsidR="007C447A">
        <w:rPr>
          <w:shd w:val="clear" w:color="auto" w:fill="FFFFFF"/>
        </w:rPr>
        <w:t>due to interacting stressors, linking the community level to the ecosystem level;</w:t>
      </w:r>
      <w:r w:rsidR="00887025">
        <w:rPr>
          <w:shd w:val="clear" w:color="auto" w:fill="FFFFFF"/>
        </w:rPr>
        <w:t xml:space="preserve"> and</w:t>
      </w:r>
    </w:p>
    <w:p w14:paraId="0606681A" w14:textId="6C3A622F" w:rsidR="00887025" w:rsidRDefault="007C447A" w:rsidP="00887025">
      <w:pPr>
        <w:pStyle w:val="ListParagraph"/>
        <w:widowControl/>
        <w:numPr>
          <w:ilvl w:val="0"/>
          <w:numId w:val="15"/>
        </w:numPr>
        <w:autoSpaceDE/>
        <w:autoSpaceDN/>
        <w:adjustRightInd/>
        <w:spacing w:before="0" w:after="0"/>
        <w:rPr>
          <w:shd w:val="clear" w:color="auto" w:fill="FFFFFF"/>
        </w:rPr>
      </w:pPr>
      <w:r>
        <w:rPr>
          <w:shd w:val="clear" w:color="auto" w:fill="FFFFFF"/>
        </w:rPr>
        <w:t xml:space="preserve">Ability of an ecosystem component to recover from or adapt to stressors/changes </w:t>
      </w:r>
    </w:p>
    <w:p w14:paraId="1B411CFE" w14:textId="77777777" w:rsidR="00887025" w:rsidRDefault="00887025" w:rsidP="00B1312F">
      <w:pPr>
        <w:widowControl/>
        <w:autoSpaceDE/>
        <w:autoSpaceDN/>
        <w:adjustRightInd/>
        <w:spacing w:before="0" w:after="0"/>
        <w:rPr>
          <w:shd w:val="clear" w:color="auto" w:fill="FFFFFF"/>
        </w:rPr>
      </w:pPr>
    </w:p>
    <w:p w14:paraId="4656892D" w14:textId="7DF8F341" w:rsidR="00310327" w:rsidRPr="00152EE0" w:rsidRDefault="00310327" w:rsidP="00152EE0">
      <w:pPr>
        <w:widowControl/>
        <w:autoSpaceDE/>
        <w:autoSpaceDN/>
        <w:adjustRightInd/>
        <w:spacing w:before="0" w:after="0"/>
        <w:rPr>
          <w:shd w:val="clear" w:color="auto" w:fill="FFFFFF"/>
        </w:rPr>
      </w:pPr>
      <w:r>
        <w:rPr>
          <w:shd w:val="clear" w:color="auto" w:fill="FFFFFF"/>
        </w:rPr>
        <w:t>Other ecosystem characteristics are relevant, which should be considered within the context and documented within the background assumptions behind the as</w:t>
      </w:r>
      <w:r w:rsidR="00D37113">
        <w:rPr>
          <w:shd w:val="clear" w:color="auto" w:fill="FFFFFF"/>
        </w:rPr>
        <w:t>sessment.  These include</w:t>
      </w:r>
      <w:r w:rsidR="00152EE0">
        <w:rPr>
          <w:shd w:val="clear" w:color="auto" w:fill="FFFFFF"/>
        </w:rPr>
        <w:t xml:space="preserve"> the c</w:t>
      </w:r>
      <w:r>
        <w:rPr>
          <w:shd w:val="clear" w:color="auto" w:fill="FFFFFF"/>
        </w:rPr>
        <w:t>urrent and potential state of ecosystem components as distributed within the geographic area being assessed, which could be referred to as “reference conditions</w:t>
      </w:r>
      <w:r w:rsidR="00152EE0">
        <w:rPr>
          <w:shd w:val="clear" w:color="auto" w:fill="FFFFFF"/>
        </w:rPr>
        <w:t>”.  Other context, such as the values placed on the ecosystem component by people or the role of the component within its larger ecosystem are reflected in the choice of assessment endpoints, with the rationale for these choices being documented within the assessment.</w:t>
      </w:r>
    </w:p>
    <w:p w14:paraId="6CDECF93" w14:textId="77777777" w:rsidR="00AF599A" w:rsidRPr="00FC0E46" w:rsidRDefault="00AF599A" w:rsidP="00AF599A">
      <w:pPr>
        <w:pStyle w:val="Heading4"/>
      </w:pPr>
      <w:r>
        <w:t>Vulnerability of Marine Ecosystems (VME) framework</w:t>
      </w:r>
    </w:p>
    <w:p w14:paraId="3ACE39C8" w14:textId="5271970D" w:rsidR="00AF599A" w:rsidRDefault="00152EE0" w:rsidP="00AF599A">
      <w:r>
        <w:t>I</w:t>
      </w:r>
      <w:r w:rsidR="00AF599A">
        <w:t xml:space="preserve">n the context of marine ecosystems, Halpern et al. (2007) developed </w:t>
      </w:r>
      <w:r w:rsidR="00D37113">
        <w:t xml:space="preserve">the vulnerability of marine ecosystems (VME) framework </w:t>
      </w:r>
      <w:r w:rsidR="00AF599A">
        <w:t>to elicit expertise about ecosystem vulnerability to human stressors, accounting for ecological context and acknowledging that the same activity may have different effects in different ecosystems (</w:t>
      </w:r>
      <w:proofErr w:type="spellStart"/>
      <w:r w:rsidR="00AF599A">
        <w:t>Teck</w:t>
      </w:r>
      <w:proofErr w:type="spellEnd"/>
      <w:r w:rsidR="00AF599A">
        <w:t xml:space="preserve"> et al. 2010; HELCOM, 2010).  The framework has been applied at scales ranging from global (Halpern et al., 2008) to regional (Halpern et al., 2009; </w:t>
      </w:r>
      <w:proofErr w:type="spellStart"/>
      <w:r w:rsidR="00AF599A">
        <w:t>Teck</w:t>
      </w:r>
      <w:proofErr w:type="spellEnd"/>
      <w:r w:rsidR="00AF599A">
        <w:t xml:space="preserve"> et al., 2010; </w:t>
      </w:r>
      <w:proofErr w:type="spellStart"/>
      <w:r w:rsidR="00AF599A">
        <w:t>Kappel</w:t>
      </w:r>
      <w:proofErr w:type="spellEnd"/>
      <w:r w:rsidR="00AF599A">
        <w:t xml:space="preserve"> et al., 2012), including scales directly relevant to</w:t>
      </w:r>
      <w:r w:rsidR="00D37113">
        <w:t xml:space="preserve"> the Puget Sound (HELCOM, 2010; </w:t>
      </w:r>
      <w:r w:rsidR="00AF599A">
        <w:t>Ban et al., 2010).</w:t>
      </w:r>
    </w:p>
    <w:p w14:paraId="148B7F68" w14:textId="77777777" w:rsidR="00AF599A" w:rsidRDefault="00AF599A" w:rsidP="00AF599A">
      <w:r>
        <w:t>Building on the ecosystem vulnerability review and framework developed by Wilson et al. (2005), the “vulnerability of marine ecosystems” model (Halpern et al., 2007) was designed to address several related questions:</w:t>
      </w:r>
    </w:p>
    <w:p w14:paraId="46A372C7" w14:textId="5298FC93" w:rsidR="00AF599A" w:rsidRDefault="00AF599A" w:rsidP="00AF599A">
      <w:pPr>
        <w:pStyle w:val="ListParagraph"/>
        <w:numPr>
          <w:ilvl w:val="0"/>
          <w:numId w:val="14"/>
        </w:numPr>
      </w:pPr>
      <w:r>
        <w:t xml:space="preserve">What are the most important pressures within and across assessment endpoints? </w:t>
      </w:r>
    </w:p>
    <w:p w14:paraId="07770667" w14:textId="77777777" w:rsidR="00AF599A" w:rsidRDefault="00AF599A" w:rsidP="00AF599A">
      <w:pPr>
        <w:pStyle w:val="ListParagraph"/>
        <w:numPr>
          <w:ilvl w:val="0"/>
          <w:numId w:val="14"/>
        </w:numPr>
      </w:pPr>
      <w:r>
        <w:t xml:space="preserve">Which assessment endpoints are most vulnerable to pressures? </w:t>
      </w:r>
    </w:p>
    <w:p w14:paraId="7C3D432E" w14:textId="77777777" w:rsidR="00AF599A" w:rsidRDefault="00AF599A" w:rsidP="00AF599A">
      <w:pPr>
        <w:pStyle w:val="ListParagraph"/>
        <w:numPr>
          <w:ilvl w:val="0"/>
          <w:numId w:val="14"/>
        </w:numPr>
      </w:pPr>
      <w:r>
        <w:t xml:space="preserve">Which factors drive differences in ecosystem vulnerability, and is it possible to quantify those differences? </w:t>
      </w:r>
    </w:p>
    <w:p w14:paraId="55472A87" w14:textId="774AF6FD" w:rsidR="00AF599A" w:rsidRDefault="00AF599A" w:rsidP="00AF599A">
      <w:r>
        <w:t xml:space="preserve">The VME considers the spatial scale, frequency of occurrence/exposure, and </w:t>
      </w:r>
      <w:r w:rsidR="003002CB">
        <w:t>the nature of potential</w:t>
      </w:r>
      <w:r>
        <w:t xml:space="preserve"> impact for each </w:t>
      </w:r>
      <w:r w:rsidR="003002CB">
        <w:t>combination of stressor</w:t>
      </w:r>
      <w:r>
        <w:t xml:space="preserve"> </w:t>
      </w:r>
      <w:r w:rsidR="003002CB">
        <w:t>and</w:t>
      </w:r>
      <w:r>
        <w:t xml:space="preserve"> assessment endpoint (marine ecosystem types, in their assessment); the resistance of the assessment endpoint to disturbance posed by each pressure; and the </w:t>
      </w:r>
      <w:r w:rsidR="00C54560">
        <w:t xml:space="preserve">expected </w:t>
      </w:r>
      <w:r>
        <w:t>recovery time (i.e., resilie</w:t>
      </w:r>
      <w:r w:rsidR="00C54560">
        <w:t>nce) of the assessment endpoint</w:t>
      </w:r>
      <w:r>
        <w:t xml:space="preserve">  following the </w:t>
      </w:r>
      <w:r w:rsidR="00C54560">
        <w:t xml:space="preserve">cessation of </w:t>
      </w:r>
      <w:r>
        <w:t xml:space="preserve">disturbance.  Since we use a broader suite of types of assessment endpoints </w:t>
      </w:r>
      <w:r w:rsidR="00C54560">
        <w:t xml:space="preserve">(including those related to </w:t>
      </w:r>
      <w:r w:rsidR="00C54560">
        <w:lastRenderedPageBreak/>
        <w:t xml:space="preserve">human </w:t>
      </w:r>
      <w:r w:rsidR="00FD688F">
        <w:t>wellbeing</w:t>
      </w:r>
      <w:r w:rsidR="00C54560">
        <w:t xml:space="preserve">) </w:t>
      </w:r>
      <w:r>
        <w:t xml:space="preserve">and include terrestrial and freshwater aquatic ecosystem assessment endpoints, </w:t>
      </w:r>
      <w:r w:rsidR="00FD688F">
        <w:t xml:space="preserve">we propose to modify the </w:t>
      </w:r>
      <w:r>
        <w:t xml:space="preserve">ecosystem vulnerability criteria </w:t>
      </w:r>
      <w:r w:rsidR="00FD688F">
        <w:t>somewhat</w:t>
      </w:r>
      <w:r>
        <w:t xml:space="preserve"> from the definitions used by Halpern et al. (2007), as explained in Section 3.</w:t>
      </w:r>
    </w:p>
    <w:p w14:paraId="37C742D7" w14:textId="11F22E44" w:rsidR="00AF599A" w:rsidRPr="008A6B24" w:rsidRDefault="00AF599A" w:rsidP="00AF599A">
      <w:r w:rsidRPr="008A6B24">
        <w:t xml:space="preserve">Halpern et al. (2007) </w:t>
      </w:r>
      <w:r w:rsidR="00394CA6">
        <w:t xml:space="preserve">discusses </w:t>
      </w:r>
      <w:r w:rsidR="00FD688F">
        <w:t xml:space="preserve">how </w:t>
      </w:r>
      <w:r w:rsidR="00394CA6">
        <w:t xml:space="preserve">several </w:t>
      </w:r>
      <w:r w:rsidR="008A6B24" w:rsidRPr="008A6B24">
        <w:t xml:space="preserve">VME </w:t>
      </w:r>
      <w:r w:rsidRPr="008A6B24">
        <w:t xml:space="preserve">model results compared to </w:t>
      </w:r>
      <w:r w:rsidR="008A6B24" w:rsidRPr="008A6B24">
        <w:t xml:space="preserve">direct </w:t>
      </w:r>
      <w:r w:rsidRPr="008A6B24">
        <w:t xml:space="preserve">expert opinion about the relative importance of pressures within </w:t>
      </w:r>
      <w:r w:rsidR="00394CA6">
        <w:t>the marine</w:t>
      </w:r>
      <w:r w:rsidR="008A6B24" w:rsidRPr="008A6B24">
        <w:t xml:space="preserve"> </w:t>
      </w:r>
      <w:r w:rsidRPr="008A6B24">
        <w:t>ecosystem types</w:t>
      </w:r>
      <w:r w:rsidR="00394CA6">
        <w:t xml:space="preserve"> used as assessment endpoints</w:t>
      </w:r>
      <w:r w:rsidRPr="008A6B24">
        <w:t>.  While the vulnerability model results are themselves based on expert elicitation, the use of a model and comparable vulnerability factors to decompose the question of relative importance of pressures appears to result in more robust comparisons of pressures/threats</w:t>
      </w:r>
      <w:r w:rsidR="008A6B24" w:rsidRPr="008A6B24">
        <w:t xml:space="preserve"> across pressures and threats</w:t>
      </w:r>
      <w:r w:rsidRPr="008A6B24">
        <w:t>.  One possible explanation is that linguistic uncertainty is higher when the question of relative importance is posed directly (in the absence of a model), since, for example, thoughts about existing pressure intensity levels within the region of interest could bias thoughts about the intrinsic vulnerability of an endpoint for a given pressure.</w:t>
      </w:r>
    </w:p>
    <w:p w14:paraId="4B5981A3" w14:textId="56E2ABE3" w:rsidR="00AF599A" w:rsidRDefault="000C6881" w:rsidP="00AF599A">
      <w:r w:rsidRPr="008A6B24">
        <w:t>Before we describe the proposed Puget Sound pressures assessment approach in Section 3, in the remainder of this section, we describe other possible approaches, each of which have their own pros and cons relative to the VME approach, but none of which surpass the VME in meeting the goals of this assessment, as previously described.</w:t>
      </w:r>
    </w:p>
    <w:p w14:paraId="3801748C" w14:textId="6046348A" w:rsidR="00FC636E" w:rsidRDefault="00FC636E" w:rsidP="000B1E92">
      <w:pPr>
        <w:pStyle w:val="Heading3"/>
      </w:pPr>
      <w:bookmarkStart w:id="10" w:name="_Toc256149262"/>
      <w:r>
        <w:t>DPSIR</w:t>
      </w:r>
      <w:r w:rsidR="00FD0308">
        <w:t xml:space="preserve"> models</w:t>
      </w:r>
      <w:bookmarkEnd w:id="10"/>
    </w:p>
    <w:p w14:paraId="0142AF6F" w14:textId="507ECAE8" w:rsidR="000D57B8" w:rsidRDefault="00EA6651" w:rsidP="008A6B24">
      <w:pPr>
        <w:rPr>
          <w:shd w:val="clear" w:color="auto" w:fill="FFFFFF"/>
        </w:rPr>
      </w:pPr>
      <w:r>
        <w:rPr>
          <w:shd w:val="clear" w:color="auto" w:fill="FFFFFF"/>
        </w:rPr>
        <w:t xml:space="preserve">An organizing framework for dynamic </w:t>
      </w:r>
      <w:r w:rsidR="00FD688F">
        <w:rPr>
          <w:shd w:val="clear" w:color="auto" w:fill="FFFFFF"/>
        </w:rPr>
        <w:t xml:space="preserve">coupled human-natural </w:t>
      </w:r>
      <w:r>
        <w:rPr>
          <w:shd w:val="clear" w:color="auto" w:fill="FFFFFF"/>
        </w:rPr>
        <w:t xml:space="preserve">system analyses is the ‘Driver-Pressure-State-Impact-Response’ (DPSIR) conceptual modeling approach (EEA 2007, CEROI 2008).  The DPSIR approach allows development of a rationale or narrative for why a particular threat/driver is of concern.  Conceptual models such as DPSIR are useful for organizing the state of scientific information demonstrating cause-and-effect linkages between ultimate drivers of ecosystem change, and likely ecosystem responses to natural or human-induced changes in those drivers (EEA 2007).  The DPSIR framework can also be used to highlight important ecosystem attributes and develop hypotheses about how the system works. Management strategies can be developed based on the spatial distribution of threats from drivers and pressures, information on thresholds linking the magnitude of the threats to likely changes in ecosystem attributes, and adaptive feedback of the response actions (Figure </w:t>
      </w:r>
      <w:r w:rsidR="008A4183">
        <w:rPr>
          <w:shd w:val="clear" w:color="auto" w:fill="FFFFFF"/>
        </w:rPr>
        <w:t>6</w:t>
      </w:r>
      <w:r>
        <w:rPr>
          <w:shd w:val="clear" w:color="auto" w:fill="FFFFFF"/>
        </w:rPr>
        <w:t xml:space="preserve">, Ruckelshaus et al. 2008). To better identify indicators of ecosystem health, </w:t>
      </w:r>
      <w:r w:rsidR="00FD688F">
        <w:rPr>
          <w:shd w:val="clear" w:color="auto" w:fill="FFFFFF"/>
        </w:rPr>
        <w:t xml:space="preserve">Puget Sound-specific </w:t>
      </w:r>
      <w:r>
        <w:rPr>
          <w:shd w:val="clear" w:color="auto" w:fill="FFFFFF"/>
        </w:rPr>
        <w:t>DPISR models have been developed for climate change, residential, commercial and industrial development, shoreline modification, pollution, and the introduction of invasive species (Pearson et al. 2009). The DPSIR framework "(1) identifies likely causal linkages between human activities and changes in ecosystem states; (2) simplifies the complex relationship between human activities and changes in the environment; (3) is a tool for communicating complex relationships and potential solutions between policy makers, scientists and the general public; (4) provides a framework for identifying indicators and what they indicate (e.g. indicators of pressures and states); (5) allows for a better understanding of the likely effects of response actions on the desired state; and (6) is widely used in the peer–reviewed literature" (Pearson et al. 2009).</w:t>
      </w:r>
    </w:p>
    <w:p w14:paraId="4D6A8A05" w14:textId="122222E5" w:rsidR="000D57B8" w:rsidRDefault="000D57B8" w:rsidP="008A6B24">
      <w:pPr>
        <w:rPr>
          <w:shd w:val="clear" w:color="auto" w:fill="FFFFFF"/>
        </w:rPr>
      </w:pPr>
      <w:r>
        <w:rPr>
          <w:shd w:val="clear" w:color="auto" w:fill="FFFFFF"/>
        </w:rPr>
        <w:t xml:space="preserve">We propose the use of DPSIR models, or other conceptual causal models, within the proposed pressures assessment approach as a means of communicating between experts and assessors in discussions of </w:t>
      </w:r>
      <w:r w:rsidR="009D2982">
        <w:rPr>
          <w:shd w:val="clear" w:color="auto" w:fill="FFFFFF"/>
        </w:rPr>
        <w:lastRenderedPageBreak/>
        <w:t>assumptions for</w:t>
      </w:r>
      <w:r>
        <w:rPr>
          <w:shd w:val="clear" w:color="auto" w:fill="FFFFFF"/>
        </w:rPr>
        <w:t xml:space="preserve"> given stressor/endpoint pair</w:t>
      </w:r>
      <w:r w:rsidR="009D2982">
        <w:rPr>
          <w:shd w:val="clear" w:color="auto" w:fill="FFFFFF"/>
        </w:rPr>
        <w:t>s</w:t>
      </w:r>
      <w:r>
        <w:rPr>
          <w:shd w:val="clear" w:color="auto" w:fill="FFFFFF"/>
        </w:rPr>
        <w:t xml:space="preserve">.  </w:t>
      </w:r>
      <w:r w:rsidR="009D2982">
        <w:rPr>
          <w:shd w:val="clear" w:color="auto" w:fill="FFFFFF"/>
        </w:rPr>
        <w:t>These discussions</w:t>
      </w:r>
      <w:r>
        <w:rPr>
          <w:shd w:val="clear" w:color="auto" w:fill="FFFFFF"/>
        </w:rPr>
        <w:t xml:space="preserve"> </w:t>
      </w:r>
      <w:r w:rsidR="009D2982">
        <w:rPr>
          <w:shd w:val="clear" w:color="auto" w:fill="FFFFFF"/>
        </w:rPr>
        <w:t>would likely</w:t>
      </w:r>
      <w:r>
        <w:rPr>
          <w:shd w:val="clear" w:color="auto" w:fill="FFFFFF"/>
        </w:rPr>
        <w:t xml:space="preserve"> include thoughts about stressor and endpoint definitions, spatial and temporal assumptions, vulnerability model definitions, and so forth.</w:t>
      </w:r>
    </w:p>
    <w:p w14:paraId="371A1BE6" w14:textId="46230B06" w:rsidR="00EA6651" w:rsidRDefault="000D57B8" w:rsidP="008A6B24">
      <w:r>
        <w:rPr>
          <w:shd w:val="clear" w:color="auto" w:fill="FFFFFF"/>
        </w:rPr>
        <w:t>We will now describe several ecological risk assessment approaches that have been previously applied in Puget Sound.</w:t>
      </w:r>
      <w:r w:rsidR="00EA6651">
        <w:br/>
      </w:r>
    </w:p>
    <w:p w14:paraId="7FAD29E8" w14:textId="0684E643" w:rsidR="00EA6651" w:rsidRDefault="00EA6651" w:rsidP="007819D3">
      <w:pPr>
        <w:widowControl/>
        <w:autoSpaceDE/>
        <w:autoSpaceDN/>
        <w:adjustRightInd/>
        <w:spacing w:before="0" w:after="200"/>
      </w:pPr>
      <w:r>
        <w:rPr>
          <w:noProof/>
        </w:rPr>
        <mc:AlternateContent>
          <mc:Choice Requires="wps">
            <w:drawing>
              <wp:anchor distT="0" distB="0" distL="114300" distR="114300" simplePos="0" relativeHeight="251663360" behindDoc="0" locked="0" layoutInCell="1" allowOverlap="1" wp14:anchorId="33825C73" wp14:editId="0E6A2251">
                <wp:simplePos x="0" y="0"/>
                <wp:positionH relativeFrom="column">
                  <wp:posOffset>76200</wp:posOffset>
                </wp:positionH>
                <wp:positionV relativeFrom="paragraph">
                  <wp:posOffset>3566795</wp:posOffset>
                </wp:positionV>
                <wp:extent cx="5943600" cy="405765"/>
                <wp:effectExtent l="0" t="0" r="0" b="0"/>
                <wp:wrapSquare wrapText="bothSides"/>
                <wp:docPr id="2066" name="Text Box 2066"/>
                <wp:cNvGraphicFramePr/>
                <a:graphic xmlns:a="http://schemas.openxmlformats.org/drawingml/2006/main">
                  <a:graphicData uri="http://schemas.microsoft.com/office/word/2010/wordprocessingShape">
                    <wps:wsp>
                      <wps:cNvSpPr txBox="1"/>
                      <wps:spPr>
                        <a:xfrm>
                          <a:off x="0" y="0"/>
                          <a:ext cx="5943600" cy="405765"/>
                        </a:xfrm>
                        <a:prstGeom prst="rect">
                          <a:avLst/>
                        </a:prstGeom>
                        <a:solidFill>
                          <a:prstClr val="white"/>
                        </a:solidFill>
                        <a:ln>
                          <a:noFill/>
                        </a:ln>
                        <a:effectLst/>
                      </wps:spPr>
                      <wps:txbx>
                        <w:txbxContent>
                          <w:p w14:paraId="6BB7D575" w14:textId="2CC9C6B4" w:rsidR="00074ADD" w:rsidRPr="0029538E" w:rsidRDefault="00074ADD" w:rsidP="00EA6651">
                            <w:pPr>
                              <w:pStyle w:val="Caption"/>
                              <w:rPr>
                                <w:noProof/>
                                <w:color w:val="000000"/>
                              </w:rPr>
                            </w:pPr>
                            <w:r>
                              <w:t xml:space="preserve">Figure 6. </w:t>
                            </w:r>
                            <w:r w:rsidRPr="00D55A3B">
                              <w:t>Conceptual DPSIR model linking drivers and pressures to the ecosystem state, impacts to ecosystem components, and adaptive feedback for response actions (Ruckelshaus et al.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66" o:spid="_x0000_s1068" type="#_x0000_t202" style="position:absolute;margin-left:6pt;margin-top:280.85pt;width:468pt;height:3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" stroked="f">
                <v:textbox style="mso-fit-shape-to-text:t" inset="0,0,0,0">
                  <w:txbxContent>
                    <w:p w14:paraId="6BB7D575" w14:textId="2CC9C6B4" w:rsidR="00074ADD" w:rsidRPr="0029538E" w:rsidRDefault="00074ADD" w:rsidP="00EA6651">
                      <w:pPr>
                        <w:pStyle w:val="Caption"/>
                        <w:rPr>
                          <w:noProof/>
                          <w:color w:val="000000"/>
                        </w:rPr>
                      </w:pPr>
                      <w:r>
                        <w:t xml:space="preserve">Figure 6. </w:t>
                      </w:r>
                      <w:r w:rsidRPr="00D55A3B">
                        <w:t>Conceptual DPSIR model linking drivers and pressures to the ecosystem state, impacts to ecosystem components, and adaptive feedback for response actions (Ruckelshaus et al. 2008).</w:t>
                      </w:r>
                    </w:p>
                  </w:txbxContent>
                </v:textbox>
                <w10:wrap type="square"/>
              </v:shape>
            </w:pict>
          </mc:Fallback>
        </mc:AlternateContent>
      </w:r>
      <w:r>
        <w:rPr>
          <w:noProof/>
        </w:rPr>
        <w:drawing>
          <wp:anchor distT="0" distB="0" distL="114300" distR="114300" simplePos="0" relativeHeight="251661312" behindDoc="0" locked="0" layoutInCell="1" allowOverlap="1" wp14:anchorId="0710E5E1" wp14:editId="055375B0">
            <wp:simplePos x="0" y="0"/>
            <wp:positionH relativeFrom="column">
              <wp:posOffset>76200</wp:posOffset>
            </wp:positionH>
            <wp:positionV relativeFrom="paragraph">
              <wp:posOffset>98425</wp:posOffset>
            </wp:positionV>
            <wp:extent cx="5943600" cy="3411220"/>
            <wp:effectExtent l="0" t="0" r="0" b="0"/>
            <wp:wrapSquare wrapText="bothSides"/>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SIR.tif"/>
                    <pic:cNvPicPr/>
                  </pic:nvPicPr>
                  <pic:blipFill>
                    <a:blip r:embed="rId16">
                      <a:extLst>
                        <a:ext uri="{28A0092B-C50C-407E-A947-70E740481C1C}">
                          <a14:useLocalDpi xmlns:a14="http://schemas.microsoft.com/office/drawing/2010/main" val="0"/>
                        </a:ext>
                      </a:extLst>
                    </a:blip>
                    <a:stretch>
                      <a:fillRect/>
                    </a:stretch>
                  </pic:blipFill>
                  <pic:spPr>
                    <a:xfrm>
                      <a:off x="0" y="0"/>
                      <a:ext cx="5943600" cy="3411220"/>
                    </a:xfrm>
                    <a:prstGeom prst="rect">
                      <a:avLst/>
                    </a:prstGeom>
                  </pic:spPr>
                </pic:pic>
              </a:graphicData>
            </a:graphic>
            <wp14:sizeRelH relativeFrom="page">
              <wp14:pctWidth>0</wp14:pctWidth>
            </wp14:sizeRelH>
            <wp14:sizeRelV relativeFrom="page">
              <wp14:pctHeight>0</wp14:pctHeight>
            </wp14:sizeRelV>
          </wp:anchor>
        </w:drawing>
      </w:r>
    </w:p>
    <w:p w14:paraId="56131594" w14:textId="77777777" w:rsidR="00D62398" w:rsidRDefault="00D62398" w:rsidP="00D62398">
      <w:pPr>
        <w:pStyle w:val="Heading3"/>
      </w:pPr>
      <w:bookmarkStart w:id="11" w:name="_Toc256149263"/>
      <w:r>
        <w:t>Ecological risk assessment applied to Puget Sound</w:t>
      </w:r>
      <w:bookmarkEnd w:id="11"/>
    </w:p>
    <w:p w14:paraId="68ED4E16" w14:textId="0CF9C500" w:rsidR="00626C5C" w:rsidRDefault="00626C5C" w:rsidP="00626C5C">
      <w:r>
        <w:t>There are three types of ecological risk assessments that have been conducted within Puget Sound.  The first type is the ri</w:t>
      </w:r>
      <w:r w:rsidR="00943A9C">
        <w:t xml:space="preserve">sk assessments associated with </w:t>
      </w:r>
      <w:r>
        <w:t xml:space="preserve">decision-making involving sites managed under the Comprehensive Environmental Response, Compensation and Liability Act (CERCLA), also known as superfund.  The second type of assessment is comprised of those done to examine fisheries and marine management issues as part of the National Oceanographic and Atmospheric (NOAA) programs.  The third and final type </w:t>
      </w:r>
      <w:r w:rsidR="00E475A7">
        <w:t>involves the applications of</w:t>
      </w:r>
      <w:r>
        <w:t xml:space="preserve"> a regional risk model (RRM), in order to examine the risks associated with development of the Cherry Point area.  The Cherry Point approach has become a model system for the development of ecological risk assessment.  This brief summary provides an overview of the assessments in each of these categories.</w:t>
      </w:r>
    </w:p>
    <w:p w14:paraId="00305650" w14:textId="2C2010C3" w:rsidR="00D62398" w:rsidRDefault="00D62398" w:rsidP="00D62398">
      <w:pPr>
        <w:pStyle w:val="Heading4"/>
      </w:pPr>
      <w:r>
        <w:lastRenderedPageBreak/>
        <w:t xml:space="preserve">Risk </w:t>
      </w:r>
      <w:r w:rsidR="00FD0308">
        <w:t>assessmen</w:t>
      </w:r>
      <w:r>
        <w:t>t for sites managed under CERCLA</w:t>
      </w:r>
    </w:p>
    <w:p w14:paraId="7EED508C" w14:textId="77777777" w:rsidR="00E475A7" w:rsidRDefault="00E475A7" w:rsidP="00E475A7">
      <w:r>
        <w:t xml:space="preserve">The Commencement Bay site was a case study used for the development of current USEPA guidance (USEPA 1993).  The Lower Duwamish Waterway (LDW) contaminated site evaluation is more recent and will be used as the example in this review. The LDW risk assessment was performed in the mid-2000s (Windward 2007) and is typical of current practice under CERCLA. </w:t>
      </w:r>
    </w:p>
    <w:p w14:paraId="713814A6" w14:textId="39CF0272" w:rsidR="00E475A7" w:rsidRDefault="00E475A7" w:rsidP="00E475A7">
      <w:r>
        <w:t>The LDW risk assessment incorporates the USEPA guidance for ecological risk assessments (USEPA 1998) and follows the USEPA framework (USEPA 1992).  These risk assessments follow the structure of a problem formulation, effect analysis, exposure analysis, risk calculation and characterization.  Emphasis is placed on calculating chemical exposures to specified endpoints, typically species.  A threshold response value is calculated for each endpoint based upon available toxicity data usually reported as a no-effect or low-effect concentration or dose.  The threshold response value is divided into the expected concentration resulting in a ratio called the hazard quotient.  A ratio greater than 1 is assumed to have a risk that may be unacceptable and a ratio lower than one is considered to be acceptable.</w:t>
      </w:r>
    </w:p>
    <w:p w14:paraId="0F7D2602" w14:textId="77777777" w:rsidR="00E475A7" w:rsidRDefault="00E475A7" w:rsidP="00E475A7">
      <w:r>
        <w:t>In the LDW metals and persistent organic pollutants (PCBs and DDT and its degradation product) were the focus of the risk estimation.  Since CERCLA specifically deals with chemical contamination this focus is typical.</w:t>
      </w:r>
    </w:p>
    <w:p w14:paraId="4F27DE63" w14:textId="6E9E4D12" w:rsidR="00E475A7" w:rsidRDefault="00E475A7" w:rsidP="00E475A7">
      <w:r>
        <w:t>Uncertainty in the analysis was extensively described but not analyzed in a probabilistic fashion.  Monte Carlo and other probabilistic simulation techniques that can explicitly combine distributions generated for exposure concentrations or effects levels can be used.  The LDW assessment did not use a probabilistic approach to describe uncertainty, as was typical in the CERCLA driven ecological risk assessments in the mid-2000s.</w:t>
      </w:r>
    </w:p>
    <w:p w14:paraId="478B56A1" w14:textId="77777777" w:rsidR="00E475A7" w:rsidRDefault="00E475A7" w:rsidP="00E475A7">
      <w:pPr>
        <w:pStyle w:val="Heading4"/>
      </w:pPr>
      <w:r>
        <w:t>Fisheries and marine resources management</w:t>
      </w:r>
    </w:p>
    <w:p w14:paraId="47873016" w14:textId="1D4408EE" w:rsidR="00E475A7" w:rsidRDefault="00E475A7" w:rsidP="00E475A7">
      <w:proofErr w:type="spellStart"/>
      <w:r>
        <w:t>Samhouri</w:t>
      </w:r>
      <w:proofErr w:type="spellEnd"/>
      <w:r>
        <w:t xml:space="preserve"> and Levin (2012) presented a risk analysis derived from the conservation biology tradition and not that of USEPA, which was focused on chemical contamination.  They used a ranking methodology derived from </w:t>
      </w:r>
      <w:proofErr w:type="spellStart"/>
      <w:r>
        <w:t>Burgman</w:t>
      </w:r>
      <w:proofErr w:type="spellEnd"/>
      <w:r>
        <w:t xml:space="preserve"> (2005), which is similar to that of Halpern (Halpern et al 2007, 2008).  </w:t>
      </w:r>
    </w:p>
    <w:p w14:paraId="284C8E6A" w14:textId="04CDAD71" w:rsidR="00E475A7" w:rsidRDefault="00E475A7" w:rsidP="00E475A7">
      <w:r>
        <w:t xml:space="preserve">The goals of the assessment of </w:t>
      </w:r>
      <w:proofErr w:type="spellStart"/>
      <w:r>
        <w:t>Samhouri</w:t>
      </w:r>
      <w:proofErr w:type="spellEnd"/>
      <w:r>
        <w:t xml:space="preserve"> and Levin are focused on </w:t>
      </w:r>
      <w:r w:rsidR="00036DC0">
        <w:t xml:space="preserve">community </w:t>
      </w:r>
      <w:r>
        <w:t xml:space="preserve">and ecosystem attributes such as </w:t>
      </w:r>
      <w:r w:rsidR="00036DC0">
        <w:t xml:space="preserve">species </w:t>
      </w:r>
      <w:r>
        <w:t xml:space="preserve">diversity.  Exposure to contaminants was one consideration but a number of other characteristics </w:t>
      </w:r>
      <w:r w:rsidR="00036DC0">
        <w:t xml:space="preserve">were </w:t>
      </w:r>
      <w:r>
        <w:t xml:space="preserve">included in the assessment.  Indicator species were selected that had an assumed link to food web attributes such as ecosystem wide consumption, primary production.  Resilience was measured by the ecosystem reorganization index.  </w:t>
      </w:r>
    </w:p>
    <w:p w14:paraId="1C004ADB" w14:textId="23E402BD" w:rsidR="00E475A7" w:rsidRDefault="00E475A7" w:rsidP="00E475A7">
      <w:r>
        <w:t xml:space="preserve">Uncertainty was not addressed probabilistically but by a ranking of data quality.  While data quality is </w:t>
      </w:r>
      <w:r w:rsidR="00036DC0">
        <w:t xml:space="preserve">one aspect of uncertainty, </w:t>
      </w:r>
      <w:r>
        <w:t xml:space="preserve">uncertainty in the nature of </w:t>
      </w:r>
      <w:r w:rsidR="00036DC0">
        <w:t>cause-and-</w:t>
      </w:r>
      <w:r>
        <w:t>effect responses, model uncertainty, linguistic uncertainty, and so on were not addressed.</w:t>
      </w:r>
    </w:p>
    <w:p w14:paraId="52447EF0" w14:textId="12FE494C" w:rsidR="00E475A7" w:rsidRDefault="00036DC0" w:rsidP="00E475A7">
      <w:r>
        <w:t xml:space="preserve">Examples of findings were that </w:t>
      </w:r>
      <w:r w:rsidR="00E475A7">
        <w:t xml:space="preserve">Chinook salmon and Pacific herring </w:t>
      </w:r>
      <w:r>
        <w:t xml:space="preserve">are </w:t>
      </w:r>
      <w:r w:rsidR="00E475A7">
        <w:t xml:space="preserve">at greater risk from a number of human activities within the study area than other </w:t>
      </w:r>
      <w:r>
        <w:t xml:space="preserve">assessment </w:t>
      </w:r>
      <w:r w:rsidR="00E475A7">
        <w:t>endpoints.  This did vary depending upon the kind of stressors involved.</w:t>
      </w:r>
    </w:p>
    <w:p w14:paraId="28C68CB0" w14:textId="77777777" w:rsidR="00E475A7" w:rsidRDefault="00E475A7" w:rsidP="00E475A7">
      <w:r>
        <w:t xml:space="preserve">One of the strengths of the </w:t>
      </w:r>
      <w:proofErr w:type="spellStart"/>
      <w:r>
        <w:t>Samhouri</w:t>
      </w:r>
      <w:proofErr w:type="spellEnd"/>
      <w:r>
        <w:t xml:space="preserve"> and Levin approach is that it was spatially explicit and estimated </w:t>
      </w:r>
      <w:r>
        <w:lastRenderedPageBreak/>
        <w:t>risk to the various management areas as delineated by the Puget Sound Partnership.  Gradients of risk to Chinook salmon and Pacific herring are clearly observed in the risk estimates from coastal development and industry land uses.</w:t>
      </w:r>
    </w:p>
    <w:p w14:paraId="64100B0F" w14:textId="406BD8B8" w:rsidR="00E475A7" w:rsidRDefault="00E475A7" w:rsidP="00E475A7">
      <w:r>
        <w:t xml:space="preserve">Although not touted as a risk assessment, </w:t>
      </w:r>
      <w:proofErr w:type="spellStart"/>
      <w:r>
        <w:t>Feist</w:t>
      </w:r>
      <w:proofErr w:type="spellEnd"/>
      <w:r>
        <w:t xml:space="preserve"> et </w:t>
      </w:r>
      <w:proofErr w:type="spellStart"/>
      <w:r>
        <w:t>al’s</w:t>
      </w:r>
      <w:proofErr w:type="spellEnd"/>
      <w:r>
        <w:t xml:space="preserve"> (2011) study exploring the risk factors contributing to </w:t>
      </w:r>
      <w:proofErr w:type="spellStart"/>
      <w:r>
        <w:t>prespawn</w:t>
      </w:r>
      <w:proofErr w:type="spellEnd"/>
      <w:r>
        <w:t xml:space="preserve"> mortality (PSM) in Coho salmon within part of Puget Sound has some of the elements of a risk analysis.  They assumed a cause-effect relationship between contaminants in watersheds and PSM f</w:t>
      </w:r>
      <w:r w:rsidR="00363C66">
        <w:t xml:space="preserve">or </w:t>
      </w:r>
      <w:r>
        <w:t>a variety of land</w:t>
      </w:r>
      <w:r w:rsidR="00363C66">
        <w:t xml:space="preserve"> </w:t>
      </w:r>
      <w:r>
        <w:t>uses and used a model to examine the relationships between the geospatial features and the occurrence of PSM.  The model results were used to calculate areas where PSM would likely occur and could be used to characterize</w:t>
      </w:r>
      <w:r w:rsidR="00363C66">
        <w:t xml:space="preserve"> the associated</w:t>
      </w:r>
      <w:r>
        <w:t xml:space="preserve"> uncertainty</w:t>
      </w:r>
      <w:r w:rsidR="00363C66">
        <w:t>.  While the authors do not call their study a risk assessment, the forecast</w:t>
      </w:r>
      <w:r>
        <w:t xml:space="preserve"> mortality </w:t>
      </w:r>
      <w:r w:rsidR="00363C66">
        <w:t>under</w:t>
      </w:r>
      <w:r>
        <w:t xml:space="preserve"> different development scenarios, so this study clearly has some of th</w:t>
      </w:r>
      <w:r w:rsidR="008A423D">
        <w:t>e classic characteristics of a risk assessment</w:t>
      </w:r>
      <w:r>
        <w:t xml:space="preserve"> approach. </w:t>
      </w:r>
    </w:p>
    <w:p w14:paraId="56853775" w14:textId="77777777" w:rsidR="00E475A7" w:rsidRDefault="00E475A7" w:rsidP="00E475A7">
      <w:pPr>
        <w:pStyle w:val="Heading4"/>
      </w:pPr>
      <w:r>
        <w:t>Use of the relative risk model for regional risk assessment</w:t>
      </w:r>
    </w:p>
    <w:p w14:paraId="4FAD6AC1" w14:textId="3C6D2CCE" w:rsidR="00E475A7" w:rsidRDefault="00E475A7" w:rsidP="00E475A7">
      <w:r>
        <w:t xml:space="preserve">The relative risk model (RRM) for regional risk assessment was developed in the late 1990s for use at regional scales (Landis and </w:t>
      </w:r>
      <w:proofErr w:type="spellStart"/>
      <w:r>
        <w:t>Weigers</w:t>
      </w:r>
      <w:proofErr w:type="spellEnd"/>
      <w:r>
        <w:t xml:space="preserve"> 1997).  The RRM uses ranks to combine multiple sources with multiple stressors to expose multiple habitats as a way of estimating impacts.  A number of other research groups have used the RRM to estimate toxicity in a variety of scenarios around the world (Landis 2007). In the initial versions of the RRM uncertainty was documented and later Monte Carlo analysis was used to estimate uncertainty in the scores and final ra</w:t>
      </w:r>
      <w:r w:rsidR="00A274F7">
        <w:t xml:space="preserve">nkings.  In more recent applications, </w:t>
      </w:r>
      <w:r>
        <w:t>Bayesian networks</w:t>
      </w:r>
      <w:r w:rsidR="00A274F7">
        <w:t xml:space="preserve"> have been used</w:t>
      </w:r>
      <w:r>
        <w:t xml:space="preserve"> to describe causal relationships and to incorporate uncertainty.</w:t>
      </w:r>
    </w:p>
    <w:p w14:paraId="4AE5537E" w14:textId="77777777" w:rsidR="00E475A7" w:rsidRDefault="00E475A7" w:rsidP="00E475A7">
      <w:r>
        <w:t>The initial use of the RRM in Puget Sound was to estimate risk factors contributing to the decline of the Pacific herring at Cherry Point, near Ferndale (Landis et al 2004, 2005).  This assessment demonstrated that although some activities at Cherry Point posed a risk, the majority of the risk was from sources outside of the region. Hayes et al (2004) looked at a number of endpoints other than Pacific herring in the same area including birds, fish and invertebrates. Nonpoint sources were major contributors to risk.</w:t>
      </w:r>
    </w:p>
    <w:p w14:paraId="5AC0D965" w14:textId="77777777" w:rsidR="00E475A7" w:rsidRDefault="00E475A7" w:rsidP="00E475A7">
      <w:r>
        <w:t xml:space="preserve">The RRM was also used to estimate risk due to nonindigenous species (NIS).  </w:t>
      </w:r>
      <w:proofErr w:type="spellStart"/>
      <w:r>
        <w:t>Colnar</w:t>
      </w:r>
      <w:proofErr w:type="spellEnd"/>
      <w:r>
        <w:t xml:space="preserve"> and Landis (2007) examined the risk due to the invasion of the European Green crab into the Cherry Point region.  The relative risk scores were calculated for la Nina and </w:t>
      </w:r>
      <w:proofErr w:type="gramStart"/>
      <w:r>
        <w:t>el</w:t>
      </w:r>
      <w:proofErr w:type="gramEnd"/>
      <w:r>
        <w:t xml:space="preserve"> Nino years.  European Green crab did pose a risk in the Cherry Point region to a number of endpoints.  Similarly </w:t>
      </w:r>
      <w:proofErr w:type="spellStart"/>
      <w:r>
        <w:t>Seebach</w:t>
      </w:r>
      <w:proofErr w:type="spellEnd"/>
      <w:r>
        <w:t xml:space="preserve"> et al (2010) examined the risks due to the establishment of </w:t>
      </w:r>
      <w:proofErr w:type="spellStart"/>
      <w:r>
        <w:t>Sargassum</w:t>
      </w:r>
      <w:proofErr w:type="spellEnd"/>
      <w:r>
        <w:t xml:space="preserve"> within the Cherry Point area.  In this instance declines in some species were considered likely but to other endpoints, </w:t>
      </w:r>
      <w:proofErr w:type="spellStart"/>
      <w:r>
        <w:t>Sargassum</w:t>
      </w:r>
      <w:proofErr w:type="spellEnd"/>
      <w:r>
        <w:t xml:space="preserve"> would be beneficial because it serves as new habitat. </w:t>
      </w:r>
    </w:p>
    <w:p w14:paraId="3360E29D" w14:textId="12EEBAE4" w:rsidR="00E475A7" w:rsidRDefault="00E475A7" w:rsidP="00E475A7">
      <w:r>
        <w:t xml:space="preserve">Hines (2013) used </w:t>
      </w:r>
      <w:r w:rsidR="00A274F7">
        <w:t xml:space="preserve">a Bayesian network-based </w:t>
      </w:r>
      <w:r>
        <w:t>RRM to estimate risk to Coho Salmon in the Puyallup River ba</w:t>
      </w:r>
      <w:r w:rsidR="00A274F7">
        <w:t xml:space="preserve">sin and Tacoma.  </w:t>
      </w:r>
      <w:r>
        <w:t xml:space="preserve">Risk increased as the areas near the Port and City of Tacoma become more urbanized.  The uncertainties were clearly expressed in the distributions in the nodes of the Bayesian network and the driving factors were listed in the sensitivity analysis.  The study also incorporated the implementation of low impact development (LID) as a management tool for reducing risk.  The findings suggest that a great deal of LID would be required in the most urban regions to reduce risk.  </w:t>
      </w:r>
    </w:p>
    <w:p w14:paraId="3E193DA8" w14:textId="4D8C5D24" w:rsidR="00E508E5" w:rsidRDefault="00471E70" w:rsidP="00D96D56">
      <w:pPr>
        <w:pStyle w:val="Heading2"/>
        <w:keepNext/>
        <w:keepLines/>
      </w:pPr>
      <w:bookmarkStart w:id="12" w:name="_Toc256149264"/>
      <w:r>
        <w:lastRenderedPageBreak/>
        <w:t xml:space="preserve">3. </w:t>
      </w:r>
      <w:r w:rsidR="00E508E5">
        <w:t>Proposed pressure</w:t>
      </w:r>
      <w:r w:rsidR="00394BA9">
        <w:t>s</w:t>
      </w:r>
      <w:r w:rsidR="00E508E5">
        <w:t xml:space="preserve"> assessment approach</w:t>
      </w:r>
      <w:bookmarkEnd w:id="12"/>
    </w:p>
    <w:p w14:paraId="78589045" w14:textId="09F77A48" w:rsidR="002C30DF" w:rsidRDefault="008D794B" w:rsidP="00D96D56">
      <w:pPr>
        <w:keepNext/>
        <w:keepLines/>
      </w:pPr>
      <w:r>
        <w:t xml:space="preserve">The </w:t>
      </w:r>
      <w:r w:rsidR="00EA04FB">
        <w:t>proposed pressures assessment</w:t>
      </w:r>
      <w:r>
        <w:t xml:space="preserve"> </w:t>
      </w:r>
      <w:r w:rsidR="002D481F">
        <w:t>framework</w:t>
      </w:r>
      <w:r w:rsidR="00EA04FB">
        <w:t xml:space="preserve"> </w:t>
      </w:r>
      <w:r w:rsidR="00BB61EE">
        <w:t>provides a methodology for evaluating, comparing, and ranking</w:t>
      </w:r>
      <w:r w:rsidR="00EA04FB">
        <w:t xml:space="preserve"> the potential impact of stressors on important </w:t>
      </w:r>
      <w:r w:rsidR="00FC28B3">
        <w:t xml:space="preserve">assessment </w:t>
      </w:r>
      <w:r w:rsidR="00EA04FB">
        <w:t>endpoints</w:t>
      </w:r>
      <w:r w:rsidR="00FA4B15">
        <w:t>, where t</w:t>
      </w:r>
      <w:r w:rsidR="00FC28B3">
        <w:t xml:space="preserve">he assessment endpoints are </w:t>
      </w:r>
      <w:r w:rsidR="00EA04FB">
        <w:t xml:space="preserve">chosen to reflect the recovery and management concerns of the Puget Sound Partnership and its many partners.  The framework is designed to 1) assess scales of impacts </w:t>
      </w:r>
      <w:r w:rsidR="00FC28B3">
        <w:t xml:space="preserve">ranging </w:t>
      </w:r>
      <w:r w:rsidR="00EA04FB">
        <w:t xml:space="preserve">from </w:t>
      </w:r>
      <w:r w:rsidR="00FC28B3">
        <w:t xml:space="preserve">localized </w:t>
      </w:r>
      <w:r w:rsidR="00EA04FB">
        <w:t>single species to the ecosystems that make up Puget Sound; 2) span the full suite of stressors and ecosystem endpoints necessary to evaluate and rank stressors</w:t>
      </w:r>
      <w:r w:rsidR="00BB61EE">
        <w:t xml:space="preserve"> across Puget Sound</w:t>
      </w:r>
      <w:r w:rsidR="00EA04FB">
        <w:t>; 3) assess and</w:t>
      </w:r>
      <w:r w:rsidR="00FC28B3">
        <w:t xml:space="preserve"> incorporate uncertainty in expert </w:t>
      </w:r>
      <w:r w:rsidR="00EA04FB">
        <w:t xml:space="preserve">elicited information; and 4) use expert judgment within a transparent process that would support reproducibility and future updates.  The assessment approach </w:t>
      </w:r>
      <w:r w:rsidR="00BB61EE">
        <w:t>builds</w:t>
      </w:r>
      <w:r w:rsidR="00EA04FB">
        <w:t xml:space="preserve"> on the “vulnerability of marine ecosystems” (VME) approach developed by Halpern et al. (2007</w:t>
      </w:r>
      <w:r w:rsidR="009E335E">
        <w:t xml:space="preserve">), </w:t>
      </w:r>
      <w:r w:rsidR="00FC28B3">
        <w:t xml:space="preserve">which has been </w:t>
      </w:r>
      <w:r w:rsidR="00EA04FB">
        <w:t>applied at scales ranging from global marine ecosystems to regional coastal waters.  We depart from the VME approach</w:t>
      </w:r>
      <w:r w:rsidR="009E335E">
        <w:t xml:space="preserve"> in a number of ways, including our inclusion of </w:t>
      </w:r>
      <w:r w:rsidR="0058649F">
        <w:t>terrestrial and freshwater aquatic</w:t>
      </w:r>
      <w:r w:rsidR="00FC28B3">
        <w:t xml:space="preserve"> ecosystem assessment endpoints</w:t>
      </w:r>
      <w:r w:rsidR="0058649F">
        <w:t xml:space="preserve"> in addition to marine and nearshore endpoints</w:t>
      </w:r>
      <w:r w:rsidR="00FC28B3">
        <w:t>.  We also extend</w:t>
      </w:r>
      <w:r w:rsidR="004308A5">
        <w:t xml:space="preserve"> beyond the VME’s exclusive use of habitat-type endpoints to include</w:t>
      </w:r>
      <w:r w:rsidR="006A6E96">
        <w:t xml:space="preserve"> </w:t>
      </w:r>
      <w:r w:rsidR="004308A5">
        <w:t>habitat-type</w:t>
      </w:r>
      <w:r w:rsidR="00FC28B3">
        <w:t>s, species, communities</w:t>
      </w:r>
      <w:r w:rsidR="004308A5">
        <w:t xml:space="preserve">, water quality and quantity, and human </w:t>
      </w:r>
      <w:r w:rsidR="00FD688F">
        <w:t>wellbeing</w:t>
      </w:r>
      <w:r w:rsidR="004308A5">
        <w:t xml:space="preserve"> endpoints, reflecting the Puget Sound Partnership’s recovery goals.  In addition, we propose </w:t>
      </w:r>
      <w:r w:rsidR="00343CE0">
        <w:t xml:space="preserve">a different approach to assessing and incorporating uncertainty and </w:t>
      </w:r>
      <w:r w:rsidR="00FC28B3">
        <w:t>aggregating</w:t>
      </w:r>
      <w:r w:rsidR="00343CE0">
        <w:t xml:space="preserve"> the vulnerab</w:t>
      </w:r>
      <w:r w:rsidR="00FC28B3">
        <w:t xml:space="preserve">ility criteria into a vulnerability </w:t>
      </w:r>
      <w:r w:rsidR="00343CE0">
        <w:t>score for a given stressor/endpoint pair</w:t>
      </w:r>
      <w:r w:rsidR="006A6E96">
        <w:t>.  Each of these modifications is detailed below.</w:t>
      </w:r>
    </w:p>
    <w:p w14:paraId="13198310" w14:textId="2B844DA0" w:rsidR="00EE1718" w:rsidRDefault="00513FA8" w:rsidP="00EE1718">
      <w:pPr>
        <w:pStyle w:val="Heading3"/>
      </w:pPr>
      <w:bookmarkStart w:id="13" w:name="_Toc256149265"/>
      <w:r>
        <w:t>I</w:t>
      </w:r>
      <w:r w:rsidR="00EE1718">
        <w:t xml:space="preserve">ntrinsic vulnerability score </w:t>
      </w:r>
      <w:r w:rsidR="00EE1718" w:rsidRPr="00EE1718">
        <w:t>(μ)</w:t>
      </w:r>
      <w:bookmarkEnd w:id="13"/>
    </w:p>
    <w:p w14:paraId="1AA5EABC" w14:textId="40507A65" w:rsidR="00C53092" w:rsidRDefault="002B048B" w:rsidP="00EE1718">
      <w:r>
        <w:t>T</w:t>
      </w:r>
      <w:r w:rsidR="00C53092">
        <w:t>he concept of comparing the degree of threat or potential for change between different pressures and stressors is well accepted in the scientific community</w:t>
      </w:r>
      <w:r w:rsidR="000E234F">
        <w:t>, across different disciplines, including both social and natural sciences</w:t>
      </w:r>
      <w:r w:rsidR="00C53092">
        <w:t xml:space="preserve"> (</w:t>
      </w:r>
      <w:r w:rsidR="00413D7A">
        <w:t xml:space="preserve">Williams and </w:t>
      </w:r>
      <w:proofErr w:type="spellStart"/>
      <w:r w:rsidR="00413D7A">
        <w:t>Kapusta</w:t>
      </w:r>
      <w:proofErr w:type="spellEnd"/>
      <w:r w:rsidR="00413D7A">
        <w:t>, 2000; Turner et al., 2003;</w:t>
      </w:r>
      <w:r w:rsidR="00C67F9F">
        <w:t xml:space="preserve"> </w:t>
      </w:r>
      <w:proofErr w:type="spellStart"/>
      <w:r w:rsidR="00C67F9F">
        <w:t>Adger</w:t>
      </w:r>
      <w:proofErr w:type="spellEnd"/>
      <w:r w:rsidR="00C67F9F">
        <w:t>, 2006;</w:t>
      </w:r>
      <w:r w:rsidR="00A00353">
        <w:t xml:space="preserve"> </w:t>
      </w:r>
      <w:r w:rsidR="000E234F">
        <w:t xml:space="preserve">De Lange et al., 2010).  Models of </w:t>
      </w:r>
      <w:r w:rsidR="00B733D2">
        <w:t xml:space="preserve">ecological </w:t>
      </w:r>
      <w:r w:rsidR="000E234F">
        <w:t xml:space="preserve">vulnerability </w:t>
      </w:r>
      <w:r w:rsidR="00F62C24">
        <w:t>typically</w:t>
      </w:r>
      <w:r w:rsidR="000E234F">
        <w:t xml:space="preserve"> include various aspects reflecting “exposure” to the stressor, “sensitivity” of the affected endpoint to the stressor, and “recovery potential” of the endpoint from the stress</w:t>
      </w:r>
      <w:r w:rsidR="00B733D2">
        <w:t xml:space="preserve"> (</w:t>
      </w:r>
      <w:proofErr w:type="spellStart"/>
      <w:r w:rsidR="00B733D2">
        <w:t>Suter</w:t>
      </w:r>
      <w:proofErr w:type="spellEnd"/>
      <w:r w:rsidR="00B733D2">
        <w:t>, 2007; De Lange 2010), with endpoints ranging from organisms to ecosystems.</w:t>
      </w:r>
    </w:p>
    <w:p w14:paraId="2A074A3F" w14:textId="34D39912" w:rsidR="00EE1718" w:rsidRDefault="00EE1718" w:rsidP="00086A77">
      <w:r>
        <w:t xml:space="preserve">The </w:t>
      </w:r>
      <w:r w:rsidR="00C471B0">
        <w:t>intrinsic vulnerability scores (</w:t>
      </w:r>
      <w:proofErr w:type="spellStart"/>
      <w:r w:rsidR="00C471B0">
        <w:t>μ</w:t>
      </w:r>
      <w:r w:rsidR="00C471B0">
        <w:rPr>
          <w:vertAlign w:val="subscript"/>
        </w:rPr>
        <w:t>ijk</w:t>
      </w:r>
      <w:proofErr w:type="spellEnd"/>
      <w:r w:rsidR="00C471B0">
        <w:t>) are defined over combinations of stressors (</w:t>
      </w:r>
      <w:proofErr w:type="spellStart"/>
      <w:r w:rsidR="00C471B0">
        <w:t>i</w:t>
      </w:r>
      <w:proofErr w:type="spellEnd"/>
      <w:r w:rsidR="00C471B0">
        <w:t>) and a</w:t>
      </w:r>
      <w:r w:rsidR="000B0B81">
        <w:t xml:space="preserve">ssessment endpoints (j) given an assessment </w:t>
      </w:r>
      <w:r w:rsidR="00C471B0">
        <w:t>context</w:t>
      </w:r>
      <w:r w:rsidR="00394218">
        <w:rPr>
          <w:rStyle w:val="FootnoteReference"/>
        </w:rPr>
        <w:footnoteReference w:id="6"/>
      </w:r>
      <w:r w:rsidR="00C471B0">
        <w:t xml:space="preserve"> (k).  The </w:t>
      </w:r>
      <w:r w:rsidR="00CC1F7D">
        <w:t>vulnerability criteria states and associated criteria</w:t>
      </w:r>
      <w:r w:rsidR="00C471B0">
        <w:t xml:space="preserve"> score</w:t>
      </w:r>
      <w:r w:rsidR="00CC1F7D">
        <w:t>s</w:t>
      </w:r>
      <w:r w:rsidR="00C471B0">
        <w:t xml:space="preserve"> </w:t>
      </w:r>
      <w:r w:rsidR="00CC1F7D">
        <w:t>and the approach used to aggregate them into an intrinsic vulnerability score are</w:t>
      </w:r>
      <w:r w:rsidR="00C471B0">
        <w:t xml:space="preserve"> described in detail below.  The </w:t>
      </w:r>
      <w:r w:rsidR="00CC1F7D">
        <w:t xml:space="preserve">μ </w:t>
      </w:r>
      <w:r w:rsidR="00C471B0">
        <w:t xml:space="preserve">score reflects the </w:t>
      </w:r>
      <w:r w:rsidR="0029127E">
        <w:t>i</w:t>
      </w:r>
      <w:r>
        <w:t xml:space="preserve">mpact </w:t>
      </w:r>
      <w:r w:rsidR="00C471B0">
        <w:t>that a given stressor would potentially exhibit on the</w:t>
      </w:r>
      <w:r w:rsidR="00CC1F7D">
        <w:t xml:space="preserve"> assessment endpoint</w:t>
      </w:r>
      <w:r w:rsidR="00C471B0">
        <w:t>.</w:t>
      </w:r>
      <w:r w:rsidR="0057090A">
        <w:t xml:space="preserve">  </w:t>
      </w:r>
      <w:r>
        <w:t xml:space="preserve">It is important to keep in mind that </w:t>
      </w:r>
      <w:proofErr w:type="spellStart"/>
      <w:r w:rsidR="00086A77">
        <w:t>μ</w:t>
      </w:r>
      <w:r w:rsidR="00086A77">
        <w:rPr>
          <w:vertAlign w:val="subscript"/>
        </w:rPr>
        <w:t>ijk</w:t>
      </w:r>
      <w:proofErr w:type="spellEnd"/>
      <w:r w:rsidR="00086A77">
        <w:t xml:space="preserve"> </w:t>
      </w:r>
      <w:r>
        <w:t xml:space="preserve">is a </w:t>
      </w:r>
      <w:r w:rsidR="00086A77">
        <w:t>model-defined constant</w:t>
      </w:r>
      <w:r w:rsidR="0057090A">
        <w:t xml:space="preserve"> (score)</w:t>
      </w:r>
      <w:r w:rsidR="00086A77">
        <w:t xml:space="preserve"> </w:t>
      </w:r>
      <w:r w:rsidR="0057090A">
        <w:t xml:space="preserve">aggregated from expert-assessed vulnerability criteria scores, </w:t>
      </w:r>
      <w:r w:rsidR="000A559C">
        <w:t xml:space="preserve">and is defined </w:t>
      </w:r>
      <w:r w:rsidR="0057090A">
        <w:t xml:space="preserve">at a particular </w:t>
      </w:r>
      <w:r w:rsidR="000A559C">
        <w:t xml:space="preserve">assessment </w:t>
      </w:r>
      <w:r w:rsidR="000A559C">
        <w:lastRenderedPageBreak/>
        <w:t>scale</w:t>
      </w:r>
      <w:r w:rsidR="0057090A">
        <w:t xml:space="preserve">.  </w:t>
      </w:r>
    </w:p>
    <w:p w14:paraId="013DC02E" w14:textId="1AA2C7E8" w:rsidR="00BF56F2" w:rsidRDefault="00BF56F2" w:rsidP="00BF56F2">
      <w:pPr>
        <w:pStyle w:val="Heading3"/>
      </w:pPr>
      <w:bookmarkStart w:id="14" w:name="_Toc256149266"/>
      <w:r>
        <w:t>The ecosystem vulnerability model</w:t>
      </w:r>
      <w:r w:rsidR="0016698B">
        <w:t xml:space="preserve"> that defines μ</w:t>
      </w:r>
      <w:bookmarkEnd w:id="14"/>
    </w:p>
    <w:p w14:paraId="6557E5CB" w14:textId="3CE16CF6" w:rsidR="004C6988" w:rsidRDefault="004C6988" w:rsidP="00BF56F2">
      <w:r>
        <w:t xml:space="preserve">The ecosystem vulnerability model </w:t>
      </w:r>
      <w:r w:rsidR="00EC5A22">
        <w:t xml:space="preserve">(Figure </w:t>
      </w:r>
      <w:r w:rsidR="008A4183">
        <w:t>7</w:t>
      </w:r>
      <w:r w:rsidR="00EC5A22">
        <w:t xml:space="preserve">) </w:t>
      </w:r>
      <w:r>
        <w:t xml:space="preserve">consists of several parts: 1) criteria that </w:t>
      </w:r>
      <w:r w:rsidR="0016698B">
        <w:t>together</w:t>
      </w:r>
      <w:r>
        <w:t xml:space="preserve"> define vulnerability for a particular stressor/endpoint pair, 2) a scoring system for each of the vulnerability criteria, 3) </w:t>
      </w:r>
      <w:r w:rsidR="00D51D85">
        <w:t xml:space="preserve">a probabilistic structure for incorporating uncertainty, and 4) </w:t>
      </w:r>
      <w:r>
        <w:t xml:space="preserve">an aggregation model that combines the vulnerability criteria scores into an intrinsic vulnerability score, </w:t>
      </w:r>
      <w:proofErr w:type="spellStart"/>
      <w:r>
        <w:t>μ</w:t>
      </w:r>
      <w:r>
        <w:rPr>
          <w:vertAlign w:val="subscript"/>
        </w:rPr>
        <w:t>ijk</w:t>
      </w:r>
      <w:proofErr w:type="spellEnd"/>
      <w:r w:rsidR="00D51D85">
        <w:t>, for stressor “</w:t>
      </w:r>
      <w:proofErr w:type="spellStart"/>
      <w:r w:rsidR="007E4609">
        <w:t>i</w:t>
      </w:r>
      <w:proofErr w:type="spellEnd"/>
      <w:r w:rsidR="007E4609">
        <w:t xml:space="preserve">” and assessment endpoint “j”.  Each of these parts </w:t>
      </w:r>
      <w:r w:rsidR="0016698B">
        <w:t xml:space="preserve">is </w:t>
      </w:r>
      <w:r w:rsidR="007E4609">
        <w:t>described below.</w:t>
      </w:r>
    </w:p>
    <w:p w14:paraId="64F5B053" w14:textId="77777777" w:rsidR="00EC5A22" w:rsidRDefault="00EC5A22" w:rsidP="00EC5A22">
      <w:pPr>
        <w:keepNext/>
      </w:pPr>
      <w:r>
        <w:rPr>
          <w:noProof/>
        </w:rPr>
        <w:drawing>
          <wp:inline distT="0" distB="0" distL="0" distR="0" wp14:anchorId="4A2B8D45" wp14:editId="0ABAE0A9">
            <wp:extent cx="4572000" cy="244144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441448"/>
                    </a:xfrm>
                    <a:prstGeom prst="rect">
                      <a:avLst/>
                    </a:prstGeom>
                    <a:noFill/>
                  </pic:spPr>
                </pic:pic>
              </a:graphicData>
            </a:graphic>
          </wp:inline>
        </w:drawing>
      </w:r>
    </w:p>
    <w:p w14:paraId="6E2B09BF" w14:textId="29337F02" w:rsidR="00EC5A22" w:rsidRPr="00D51D85" w:rsidRDefault="00EC5A22" w:rsidP="00EC5A22">
      <w:pPr>
        <w:pStyle w:val="Caption"/>
      </w:pPr>
      <w:r>
        <w:t xml:space="preserve">Figure </w:t>
      </w:r>
      <w:r w:rsidR="008A4183">
        <w:t>7</w:t>
      </w:r>
      <w:r>
        <w:t>. Ecosystem vulnerability model as a Bayesian network.</w:t>
      </w:r>
    </w:p>
    <w:p w14:paraId="245BEFB8" w14:textId="780419AE" w:rsidR="00BF56F2" w:rsidRDefault="00BF56F2" w:rsidP="00BF56F2">
      <w:pPr>
        <w:pStyle w:val="Heading4"/>
      </w:pPr>
      <w:r w:rsidRPr="00FF7217">
        <w:t xml:space="preserve">Vulnerability </w:t>
      </w:r>
      <w:r w:rsidR="00FD0308" w:rsidRPr="00FF7217">
        <w:t>criteria</w:t>
      </w:r>
    </w:p>
    <w:p w14:paraId="2B53DC7D" w14:textId="1578FF8D" w:rsidR="007865F6" w:rsidRPr="007865F6" w:rsidRDefault="007865F6" w:rsidP="007E4609">
      <w:r>
        <w:t xml:space="preserve">The vulnerability criteria are each defined over </w:t>
      </w:r>
      <w:r w:rsidR="00E16378">
        <w:t>states</w:t>
      </w:r>
      <w:r>
        <w:t xml:space="preserve"> ranging from a negligible outcome to a catastrophic outcome</w:t>
      </w:r>
      <w:r w:rsidR="00A25944">
        <w:t xml:space="preserve"> assuming that the endpoint in question is exposed to a “high level” of the stressor</w:t>
      </w:r>
      <w:r w:rsidR="00E16378">
        <w:t>, with interpretations of states being particular to each criterion</w:t>
      </w:r>
      <w:r>
        <w:t xml:space="preserve">.  </w:t>
      </w:r>
      <w:r w:rsidR="0016698B">
        <w:t>N</w:t>
      </w:r>
      <w:r>
        <w:t xml:space="preserve">one of the stressor/endpoint pairs considered would be </w:t>
      </w:r>
      <w:r w:rsidR="00E16378">
        <w:t>scored with certainty as having</w:t>
      </w:r>
      <w:r>
        <w:t xml:space="preserve"> a negligible outcome</w:t>
      </w:r>
      <w:r w:rsidR="00E16378">
        <w:t xml:space="preserve"> for </w:t>
      </w:r>
      <w:r w:rsidR="00A25944">
        <w:t>the aggregated</w:t>
      </w:r>
      <w:r w:rsidR="00E16378">
        <w:t xml:space="preserve"> vulnerability criteria</w:t>
      </w:r>
      <w:r>
        <w:t>, since this would indicate that the endpoint is not impacted</w:t>
      </w:r>
      <w:r w:rsidR="00A25944">
        <w:t xml:space="preserve"> by high exposures to the stressor</w:t>
      </w:r>
      <w:r w:rsidR="00E16378">
        <w:t>, in which case the pair would be irrelevant to the assessment</w:t>
      </w:r>
      <w:r>
        <w:t>.  The rationale for including the “negligible outcome” state is to def</w:t>
      </w:r>
      <w:r w:rsidR="00C53E0F">
        <w:t xml:space="preserve">ine the </w:t>
      </w:r>
      <w:r w:rsidR="0009122E">
        <w:t xml:space="preserve">baseline of the </w:t>
      </w:r>
      <w:r w:rsidR="00C53E0F">
        <w:t>relative scoring system for assessing potential impacts.  Each of the vulnerability</w:t>
      </w:r>
      <w:r w:rsidR="009E0BB0">
        <w:t xml:space="preserve"> </w:t>
      </w:r>
      <w:r w:rsidR="00312836">
        <w:t xml:space="preserve">criteria </w:t>
      </w:r>
      <w:r w:rsidR="009E0BB0">
        <w:t xml:space="preserve">is </w:t>
      </w:r>
      <w:r w:rsidR="00C53E0F">
        <w:t>now defined.</w:t>
      </w:r>
      <w:r w:rsidR="009E0BB0">
        <w:t xml:space="preserve">  It should be noted that these definitions are subject to refinement during expert workshops, to reduce ambiguity (or more precisely, “linguistic uncertainty”) among the experts and to potentially improve the underlying model based on insights from the experts involved.</w:t>
      </w:r>
    </w:p>
    <w:p w14:paraId="5D6A7F7D" w14:textId="59A9C79C" w:rsidR="007865F6" w:rsidRPr="007865F6" w:rsidRDefault="007865F6" w:rsidP="007E4609">
      <w:pPr>
        <w:pStyle w:val="ListParagraph"/>
        <w:numPr>
          <w:ilvl w:val="0"/>
          <w:numId w:val="10"/>
        </w:numPr>
        <w:rPr>
          <w:rStyle w:val="Emphasis"/>
        </w:rPr>
      </w:pPr>
      <w:r w:rsidRPr="007865F6">
        <w:rPr>
          <w:rStyle w:val="Emphasis"/>
        </w:rPr>
        <w:t>Scale of impact</w:t>
      </w:r>
    </w:p>
    <w:p w14:paraId="76083C28" w14:textId="7E4891F9" w:rsidR="00BF56F2" w:rsidRDefault="00BF56F2" w:rsidP="007E4609">
      <w:r>
        <w:t>The “</w:t>
      </w:r>
      <w:r w:rsidR="007865F6">
        <w:t>scale of impact</w:t>
      </w:r>
      <w:r>
        <w:t>” vulnerability criterion is defined as the typical scale at which a stressor (associated with a pressure class)</w:t>
      </w:r>
      <w:r w:rsidRPr="00E0709E">
        <w:t xml:space="preserve"> </w:t>
      </w:r>
      <w:r>
        <w:t>affects an assessment endpoint (</w:t>
      </w:r>
      <w:r w:rsidR="00A7323B">
        <w:t xml:space="preserve">e.g., an </w:t>
      </w:r>
      <w:r>
        <w:t>ecosystem component), with scale categories</w:t>
      </w:r>
      <w:r w:rsidRPr="00E0709E">
        <w:t xml:space="preserve"> ranging from </w:t>
      </w:r>
      <w:r>
        <w:t xml:space="preserve">“no impact” to Puget Sound basin-scale impacts. To reiterate, </w:t>
      </w:r>
      <w:r w:rsidR="007865F6">
        <w:t>scale of impact</w:t>
      </w:r>
      <w:r>
        <w:t xml:space="preserve"> does </w:t>
      </w:r>
      <w:r w:rsidRPr="00A12535">
        <w:rPr>
          <w:i/>
        </w:rPr>
        <w:t>not</w:t>
      </w:r>
      <w:r>
        <w:t xml:space="preserve"> refer to the </w:t>
      </w:r>
      <w:r w:rsidRPr="00E0709E">
        <w:t xml:space="preserve">scale at which </w:t>
      </w:r>
      <w:r>
        <w:t xml:space="preserve">particular pressures or stressors occur (some stressor types </w:t>
      </w:r>
      <w:r w:rsidR="00A7323B">
        <w:t xml:space="preserve">with small scales of impact </w:t>
      </w:r>
      <w:r>
        <w:t>are distributed throughout the entire Puget Sound basin</w:t>
      </w:r>
      <w:r w:rsidRPr="00E0709E">
        <w:t>). For examp</w:t>
      </w:r>
      <w:r>
        <w:t xml:space="preserve">le, a stressor </w:t>
      </w:r>
      <w:r>
        <w:lastRenderedPageBreak/>
        <w:t>like “habitat conversion” associated with the “commercial and residential development” pressure class may impact a particular terrestrial species at a scale of 100s of m</w:t>
      </w:r>
      <w:r>
        <w:rPr>
          <w:vertAlign w:val="superscript"/>
        </w:rPr>
        <w:t>2</w:t>
      </w:r>
      <w:r>
        <w:t xml:space="preserve">, while habitat conversions associated with commercial and residential development could occur throughout the entire Puget Sound basin.  In this example, the </w:t>
      </w:r>
      <w:r w:rsidR="007865F6">
        <w:t>scale of impact</w:t>
      </w:r>
      <w:r>
        <w:t xml:space="preserve"> vulnerability criterion would be 100s of m</w:t>
      </w:r>
      <w:r>
        <w:rPr>
          <w:vertAlign w:val="superscript"/>
        </w:rPr>
        <w:t>2</w:t>
      </w:r>
      <w:r>
        <w:t xml:space="preserve">, capturing the intrinsic vulnerability of the species to a particular land-use change.  The scale of impact from habitat losses around Puget Sound could be captured by mapping spatial distributions of the stressor “habit conversions”. The </w:t>
      </w:r>
      <w:r w:rsidR="007865F6">
        <w:t>scale of impact</w:t>
      </w:r>
      <w:r>
        <w:t xml:space="preserve"> criterion is defined to include both direct and indirect impacts. For example, dredging a channel within the mouth of a delta may directly alter a relatively short stretch of the channel but indirectly affect the entire upstream estuary by altering tidal flow. In this case the </w:t>
      </w:r>
      <w:r w:rsidR="007865F6">
        <w:t xml:space="preserve">scale of impact </w:t>
      </w:r>
      <w:r>
        <w:t xml:space="preserve">of the </w:t>
      </w:r>
      <w:proofErr w:type="spellStart"/>
      <w:r>
        <w:t>hydromodification</w:t>
      </w:r>
      <w:proofErr w:type="spellEnd"/>
      <w:r>
        <w:t xml:space="preserve"> stressor acting on an estuary endpoint would encompass the entire estuary. </w:t>
      </w:r>
    </w:p>
    <w:p w14:paraId="5C74011B" w14:textId="0D059C8F" w:rsidR="007865F6" w:rsidRPr="007865F6" w:rsidRDefault="007865F6" w:rsidP="00BF56F2">
      <w:pPr>
        <w:pStyle w:val="ListParagraph"/>
        <w:numPr>
          <w:ilvl w:val="0"/>
          <w:numId w:val="10"/>
        </w:numPr>
        <w:rPr>
          <w:i/>
          <w:iCs/>
          <w:color w:val="365F91" w:themeColor="accent1" w:themeShade="BF"/>
        </w:rPr>
      </w:pPr>
      <w:r>
        <w:rPr>
          <w:rStyle w:val="Emphasis"/>
        </w:rPr>
        <w:t>Frequency</w:t>
      </w:r>
    </w:p>
    <w:p w14:paraId="34F8D453" w14:textId="5C20E4DB" w:rsidR="00BF56F2" w:rsidRDefault="00BF56F2" w:rsidP="00BF56F2">
      <w:r>
        <w:t>The “frequency” vulnerability criterion describes how often stressor events or activities occur in a</w:t>
      </w:r>
      <w:r w:rsidR="00A77089">
        <w:t xml:space="preserve"> given habitat type or impact a particular species/biotic community (or other component)</w:t>
      </w:r>
      <w:r>
        <w:t>. Categories range from “never occurs” to “persistent”. For those stressors that occur as discrete events, frequency refers to how often new events occur, not the duration of a single event. In the case of habitat type endpoints, some stressors may affect only a few species, whereas others affect entire communities or ecosystems. To capture these differences, we define the “functional impact” vulnerability criterion using a four-category ranking scheme ranging from species to ecosystem-level impacts.</w:t>
      </w:r>
    </w:p>
    <w:p w14:paraId="2C1F8A93" w14:textId="4B340E57" w:rsidR="001430B2" w:rsidRPr="005325BB" w:rsidRDefault="001430B2" w:rsidP="001430B2">
      <w:pPr>
        <w:pStyle w:val="ListParagraph"/>
        <w:numPr>
          <w:ilvl w:val="0"/>
          <w:numId w:val="10"/>
        </w:numPr>
        <w:rPr>
          <w:i/>
          <w:iCs/>
          <w:color w:val="365F91" w:themeColor="accent1" w:themeShade="BF"/>
        </w:rPr>
      </w:pPr>
      <w:r>
        <w:rPr>
          <w:rStyle w:val="Emphasis"/>
        </w:rPr>
        <w:t>Functional impact</w:t>
      </w:r>
    </w:p>
    <w:p w14:paraId="49ED3538" w14:textId="1A2489BA" w:rsidR="001430B2" w:rsidRDefault="009E0BB0" w:rsidP="00BF56F2">
      <w:r>
        <w:t>Functional impact reflects the magnitude of the potential impact that a stressor may have on the assessment endpoint.  For endpoints that are habitat-types (ecosystems), functional impact is defined in terms of the level of organization impacted by the stressor, ranging from single species impacts to entire ecosystems.  For endpoints that are species</w:t>
      </w:r>
      <w:r w:rsidR="000D6A0C">
        <w:t>, the defined states could range from low abundance/productivity impacts to severe impacts.  For other types of endpoints, e.g., working lands, impact states would have to be defined on a case-by-case basis during workshops.</w:t>
      </w:r>
      <w:r w:rsidR="00A77089">
        <w:t xml:space="preserve">  One of the challenges of this assessment approach will be defining the functional impact criterion across assessment endpoint types such that comparability is preserved.</w:t>
      </w:r>
    </w:p>
    <w:p w14:paraId="2D68622D" w14:textId="57520F1D" w:rsidR="005325BB" w:rsidRPr="005325BB" w:rsidRDefault="005325BB" w:rsidP="00BF56F2">
      <w:pPr>
        <w:pStyle w:val="ListParagraph"/>
        <w:numPr>
          <w:ilvl w:val="0"/>
          <w:numId w:val="10"/>
        </w:numPr>
        <w:rPr>
          <w:i/>
          <w:iCs/>
          <w:color w:val="365F91" w:themeColor="accent1" w:themeShade="BF"/>
        </w:rPr>
      </w:pPr>
      <w:r>
        <w:rPr>
          <w:rStyle w:val="Emphasis"/>
        </w:rPr>
        <w:t>Resistance</w:t>
      </w:r>
    </w:p>
    <w:p w14:paraId="4DDE312A" w14:textId="57AD1697" w:rsidR="001430B2" w:rsidRDefault="009E0BB0" w:rsidP="00BF56F2">
      <w:r>
        <w:t>R</w:t>
      </w:r>
      <w:r w:rsidR="00BF56F2">
        <w:t xml:space="preserve">esistance </w:t>
      </w:r>
      <w:r>
        <w:t>describes</w:t>
      </w:r>
      <w:r w:rsidR="00BF56F2">
        <w:t xml:space="preserve"> the average tendency of a species, trophic level, community, or ecosystem to resist changing its current state in response to a stressor.  Because of the inherent complexity in describing resistance across multiple levels of organization from species to habitat types and across a large number of substantially different stressor/endpoint combinations, qualitative ranks are used for this vulnerability criterion. These ranks referred to the resistance of the ecosystem components that react to the stressor (i.e., the functional level identified above). </w:t>
      </w:r>
    </w:p>
    <w:p w14:paraId="2EF876C6" w14:textId="1EE463E9" w:rsidR="001430B2" w:rsidRPr="005325BB" w:rsidRDefault="001430B2" w:rsidP="001430B2">
      <w:pPr>
        <w:pStyle w:val="ListParagraph"/>
        <w:numPr>
          <w:ilvl w:val="0"/>
          <w:numId w:val="10"/>
        </w:numPr>
        <w:rPr>
          <w:i/>
          <w:iCs/>
          <w:color w:val="365F91" w:themeColor="accent1" w:themeShade="BF"/>
        </w:rPr>
      </w:pPr>
      <w:r>
        <w:rPr>
          <w:rStyle w:val="Emphasis"/>
        </w:rPr>
        <w:t>Recovery time</w:t>
      </w:r>
    </w:p>
    <w:p w14:paraId="48F64F7D" w14:textId="1F620835" w:rsidR="00BF56F2" w:rsidRDefault="00BF56F2" w:rsidP="00BF56F2">
      <w:r>
        <w:t xml:space="preserve">Recovery time </w:t>
      </w:r>
      <w:r w:rsidR="00121581">
        <w:t>is</w:t>
      </w:r>
      <w:r>
        <w:t xml:space="preserve"> the average time required for the affected </w:t>
      </w:r>
      <w:r w:rsidR="001430B2">
        <w:t>endpoint</w:t>
      </w:r>
      <w:r>
        <w:t xml:space="preserve"> to return to its pre-impacted</w:t>
      </w:r>
      <w:r w:rsidR="00F91D69">
        <w:t xml:space="preserve"> state</w:t>
      </w:r>
      <w:r>
        <w:t xml:space="preserve">. Because populations, communities, and ecosystems are dynamic in nature, they need not (and are </w:t>
      </w:r>
      <w:r>
        <w:lastRenderedPageBreak/>
        <w:t>unlikely to) return to their exact pre-impacted condition to be deemed “recovered” (</w:t>
      </w:r>
      <w:proofErr w:type="spellStart"/>
      <w:r>
        <w:t>Beisner</w:t>
      </w:r>
      <w:proofErr w:type="spellEnd"/>
      <w:r>
        <w:t xml:space="preserve"> et al. 2003). For persistent stressors, we </w:t>
      </w:r>
      <w:r w:rsidR="00121581">
        <w:t>may consider</w:t>
      </w:r>
      <w:r>
        <w:t xml:space="preserve"> recovery time following removal of the stressor.</w:t>
      </w:r>
    </w:p>
    <w:p w14:paraId="055BBD51" w14:textId="244DC917" w:rsidR="00BF56F2" w:rsidRDefault="00D659C9" w:rsidP="00BF56F2">
      <w:r>
        <w:t xml:space="preserve">Suggested definitions for the vulnerability criteria </w:t>
      </w:r>
      <w:r w:rsidR="009D6631">
        <w:t xml:space="preserve">states </w:t>
      </w:r>
      <w:r>
        <w:t xml:space="preserve">are </w:t>
      </w:r>
      <w:r w:rsidR="00892D05">
        <w:t xml:space="preserve">shown in Table 2. </w:t>
      </w:r>
    </w:p>
    <w:p w14:paraId="5EC44E64" w14:textId="0EE1A888" w:rsidR="00312836" w:rsidRDefault="00312836" w:rsidP="007E4609">
      <w:pPr>
        <w:keepNext/>
        <w:keepLines/>
        <w:widowControl/>
      </w:pPr>
      <w:r>
        <w:t>Table 2.  Suggested vulnerability criteria states</w:t>
      </w:r>
      <w:r w:rsidR="00121581">
        <w:t xml:space="preserve"> (To be refined in workshops)</w:t>
      </w:r>
      <w:r>
        <w:t>.</w:t>
      </w:r>
    </w:p>
    <w:tbl>
      <w:tblPr>
        <w:tblW w:w="8680" w:type="dxa"/>
        <w:tblInd w:w="93" w:type="dxa"/>
        <w:tblLook w:val="04A0" w:firstRow="1" w:lastRow="0" w:firstColumn="1" w:lastColumn="0" w:noHBand="0" w:noVBand="1"/>
      </w:tblPr>
      <w:tblGrid>
        <w:gridCol w:w="4360"/>
        <w:gridCol w:w="4320"/>
      </w:tblGrid>
      <w:tr w:rsidR="00312836" w:rsidRPr="00312836" w14:paraId="6737F682" w14:textId="77777777" w:rsidTr="00312836">
        <w:trPr>
          <w:trHeight w:val="315"/>
        </w:trPr>
        <w:tc>
          <w:tcPr>
            <w:tcW w:w="4360" w:type="dxa"/>
            <w:tcBorders>
              <w:top w:val="single" w:sz="8" w:space="0" w:color="auto"/>
              <w:left w:val="single" w:sz="8" w:space="0" w:color="auto"/>
              <w:bottom w:val="single" w:sz="8" w:space="0" w:color="auto"/>
              <w:right w:val="single" w:sz="8" w:space="0" w:color="auto"/>
            </w:tcBorders>
            <w:shd w:val="clear" w:color="000000" w:fill="FFFF00"/>
            <w:vAlign w:val="bottom"/>
            <w:hideMark/>
          </w:tcPr>
          <w:p w14:paraId="0198AE93" w14:textId="77777777" w:rsidR="00312836" w:rsidRPr="00312836" w:rsidRDefault="00312836" w:rsidP="007E4609">
            <w:pPr>
              <w:pStyle w:val="Reference0"/>
              <w:keepNext/>
              <w:keepLines/>
              <w:widowControl/>
            </w:pPr>
            <w:r w:rsidRPr="00312836">
              <w:t>Scale of Impact</w:t>
            </w:r>
          </w:p>
        </w:tc>
        <w:tc>
          <w:tcPr>
            <w:tcW w:w="4320" w:type="dxa"/>
            <w:tcBorders>
              <w:top w:val="single" w:sz="8" w:space="0" w:color="auto"/>
              <w:left w:val="nil"/>
              <w:bottom w:val="single" w:sz="8" w:space="0" w:color="auto"/>
              <w:right w:val="single" w:sz="8" w:space="0" w:color="auto"/>
            </w:tcBorders>
            <w:shd w:val="clear" w:color="000000" w:fill="C5D9F1"/>
            <w:noWrap/>
            <w:vAlign w:val="bottom"/>
            <w:hideMark/>
          </w:tcPr>
          <w:p w14:paraId="596DE005" w14:textId="77777777" w:rsidR="00312836" w:rsidRPr="00312836" w:rsidRDefault="00312836" w:rsidP="007E4609">
            <w:pPr>
              <w:pStyle w:val="Reference0"/>
              <w:keepNext/>
              <w:keepLines/>
              <w:widowControl/>
              <w:rPr>
                <w:color w:val="auto"/>
              </w:rPr>
            </w:pPr>
            <w:r w:rsidRPr="00312836">
              <w:rPr>
                <w:color w:val="auto"/>
              </w:rPr>
              <w:t>Species Endpoints</w:t>
            </w:r>
          </w:p>
        </w:tc>
      </w:tr>
      <w:tr w:rsidR="00312836" w:rsidRPr="00312836" w14:paraId="18587CA4" w14:textId="77777777" w:rsidTr="00312836">
        <w:trPr>
          <w:trHeight w:val="315"/>
        </w:trPr>
        <w:tc>
          <w:tcPr>
            <w:tcW w:w="4360" w:type="dxa"/>
            <w:tcBorders>
              <w:top w:val="nil"/>
              <w:left w:val="single" w:sz="8" w:space="0" w:color="auto"/>
              <w:bottom w:val="nil"/>
              <w:right w:val="single" w:sz="8" w:space="0" w:color="auto"/>
            </w:tcBorders>
            <w:shd w:val="clear" w:color="auto" w:fill="auto"/>
            <w:noWrap/>
            <w:vAlign w:val="bottom"/>
            <w:hideMark/>
          </w:tcPr>
          <w:p w14:paraId="68F8C499" w14:textId="4269D06D" w:rsidR="00312836" w:rsidRPr="00312836" w:rsidRDefault="007E4609" w:rsidP="007E4609">
            <w:pPr>
              <w:pStyle w:val="Reference0"/>
              <w:keepNext/>
              <w:keepLines/>
              <w:widowControl/>
            </w:pPr>
            <w:r w:rsidRPr="00312836">
              <w:t>No threat</w:t>
            </w:r>
          </w:p>
        </w:tc>
        <w:tc>
          <w:tcPr>
            <w:tcW w:w="4320" w:type="dxa"/>
            <w:tcBorders>
              <w:top w:val="nil"/>
              <w:left w:val="nil"/>
              <w:bottom w:val="nil"/>
              <w:right w:val="single" w:sz="8" w:space="0" w:color="auto"/>
            </w:tcBorders>
            <w:shd w:val="clear" w:color="000000" w:fill="FFFF00"/>
            <w:noWrap/>
            <w:vAlign w:val="bottom"/>
            <w:hideMark/>
          </w:tcPr>
          <w:p w14:paraId="2A9B0696" w14:textId="77777777" w:rsidR="00312836" w:rsidRPr="00312836" w:rsidRDefault="00312836" w:rsidP="007E4609">
            <w:pPr>
              <w:pStyle w:val="Reference0"/>
              <w:keepNext/>
              <w:keepLines/>
              <w:widowControl/>
            </w:pPr>
            <w:r w:rsidRPr="00312836">
              <w:t>Functional Impact</w:t>
            </w:r>
          </w:p>
        </w:tc>
      </w:tr>
      <w:tr w:rsidR="00312836" w:rsidRPr="00312836" w14:paraId="63215FD9"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15B25262" w14:textId="77777777" w:rsidR="00312836" w:rsidRPr="00312836" w:rsidRDefault="00312836" w:rsidP="007E4609">
            <w:pPr>
              <w:pStyle w:val="Reference0"/>
              <w:keepNext/>
              <w:keepLines/>
              <w:widowControl/>
            </w:pPr>
            <w:r w:rsidRPr="00312836">
              <w:t>Localized</w:t>
            </w:r>
          </w:p>
        </w:tc>
        <w:tc>
          <w:tcPr>
            <w:tcW w:w="4320" w:type="dxa"/>
            <w:tcBorders>
              <w:top w:val="single" w:sz="8" w:space="0" w:color="auto"/>
              <w:left w:val="nil"/>
              <w:bottom w:val="nil"/>
              <w:right w:val="single" w:sz="8" w:space="0" w:color="auto"/>
            </w:tcBorders>
            <w:shd w:val="clear" w:color="auto" w:fill="auto"/>
            <w:noWrap/>
            <w:vAlign w:val="bottom"/>
            <w:hideMark/>
          </w:tcPr>
          <w:p w14:paraId="750F32EB" w14:textId="51FA3392" w:rsidR="00312836" w:rsidRPr="00312836" w:rsidRDefault="00312836" w:rsidP="007E4609">
            <w:pPr>
              <w:pStyle w:val="Reference0"/>
              <w:keepNext/>
              <w:keepLines/>
              <w:widowControl/>
            </w:pPr>
            <w:r w:rsidRPr="00312836">
              <w:t xml:space="preserve">No </w:t>
            </w:r>
            <w:r w:rsidR="007E4609" w:rsidRPr="00312836">
              <w:t>threat</w:t>
            </w:r>
          </w:p>
        </w:tc>
      </w:tr>
      <w:tr w:rsidR="00312836" w:rsidRPr="00312836" w14:paraId="5E5CC6CE"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1266F90D" w14:textId="193676AF" w:rsidR="00312836" w:rsidRPr="00312836" w:rsidRDefault="00312836" w:rsidP="007E4609">
            <w:pPr>
              <w:pStyle w:val="Reference0"/>
              <w:keepNext/>
              <w:keepLines/>
              <w:widowControl/>
            </w:pPr>
            <w:r w:rsidRPr="00312836">
              <w:t xml:space="preserve">Sub-watershed/Marine </w:t>
            </w:r>
            <w:r w:rsidR="007E4609" w:rsidRPr="00312836">
              <w:t>segm</w:t>
            </w:r>
            <w:r w:rsidRPr="00312836">
              <w:t>ent</w:t>
            </w:r>
          </w:p>
        </w:tc>
        <w:tc>
          <w:tcPr>
            <w:tcW w:w="4320" w:type="dxa"/>
            <w:tcBorders>
              <w:top w:val="nil"/>
              <w:left w:val="nil"/>
              <w:bottom w:val="nil"/>
              <w:right w:val="single" w:sz="8" w:space="0" w:color="auto"/>
            </w:tcBorders>
            <w:shd w:val="clear" w:color="auto" w:fill="auto"/>
            <w:noWrap/>
            <w:vAlign w:val="bottom"/>
            <w:hideMark/>
          </w:tcPr>
          <w:p w14:paraId="136D2CCF" w14:textId="77777777" w:rsidR="00312836" w:rsidRPr="00312836" w:rsidRDefault="00312836" w:rsidP="007E4609">
            <w:pPr>
              <w:pStyle w:val="Reference0"/>
              <w:keepNext/>
              <w:keepLines/>
              <w:widowControl/>
            </w:pPr>
            <w:r w:rsidRPr="00312836">
              <w:t>Low abundance/productivity impacts</w:t>
            </w:r>
          </w:p>
        </w:tc>
      </w:tr>
      <w:tr w:rsidR="00312836" w:rsidRPr="00312836" w14:paraId="3FDEBC0D"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2843C339" w14:textId="3BC38F77" w:rsidR="00312836" w:rsidRPr="00312836" w:rsidRDefault="007E4609" w:rsidP="007E4609">
            <w:pPr>
              <w:pStyle w:val="Reference0"/>
              <w:keepNext/>
              <w:keepLines/>
              <w:widowControl/>
            </w:pPr>
            <w:r w:rsidRPr="00312836">
              <w:t>Watershed/marine segment</w:t>
            </w:r>
          </w:p>
        </w:tc>
        <w:tc>
          <w:tcPr>
            <w:tcW w:w="4320" w:type="dxa"/>
            <w:tcBorders>
              <w:top w:val="nil"/>
              <w:left w:val="nil"/>
              <w:bottom w:val="nil"/>
              <w:right w:val="single" w:sz="8" w:space="0" w:color="auto"/>
            </w:tcBorders>
            <w:shd w:val="clear" w:color="auto" w:fill="auto"/>
            <w:noWrap/>
            <w:vAlign w:val="bottom"/>
            <w:hideMark/>
          </w:tcPr>
          <w:p w14:paraId="4AA53B3F" w14:textId="77777777" w:rsidR="00312836" w:rsidRPr="00312836" w:rsidRDefault="00312836" w:rsidP="007E4609">
            <w:pPr>
              <w:pStyle w:val="Reference0"/>
              <w:keepNext/>
              <w:keepLines/>
              <w:widowControl/>
            </w:pPr>
            <w:r w:rsidRPr="00312836">
              <w:t>Medium abundance/productivity impacts</w:t>
            </w:r>
          </w:p>
        </w:tc>
      </w:tr>
      <w:tr w:rsidR="00312836" w:rsidRPr="00312836" w14:paraId="492BE285" w14:textId="77777777" w:rsidTr="00312836">
        <w:trPr>
          <w:trHeight w:val="315"/>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5EE1023B" w14:textId="77777777" w:rsidR="00312836" w:rsidRPr="00312836" w:rsidRDefault="00312836" w:rsidP="007E4609">
            <w:pPr>
              <w:pStyle w:val="Reference0"/>
              <w:keepNext/>
              <w:keepLines/>
              <w:widowControl/>
            </w:pPr>
            <w:r w:rsidRPr="00312836">
              <w:t>Basin</w:t>
            </w:r>
          </w:p>
        </w:tc>
        <w:tc>
          <w:tcPr>
            <w:tcW w:w="4320" w:type="dxa"/>
            <w:tcBorders>
              <w:top w:val="nil"/>
              <w:left w:val="nil"/>
              <w:bottom w:val="nil"/>
              <w:right w:val="single" w:sz="8" w:space="0" w:color="auto"/>
            </w:tcBorders>
            <w:shd w:val="clear" w:color="auto" w:fill="auto"/>
            <w:noWrap/>
            <w:vAlign w:val="bottom"/>
            <w:hideMark/>
          </w:tcPr>
          <w:p w14:paraId="791F8485" w14:textId="77777777" w:rsidR="00312836" w:rsidRPr="00312836" w:rsidRDefault="00312836" w:rsidP="007E4609">
            <w:pPr>
              <w:pStyle w:val="Reference0"/>
              <w:keepNext/>
              <w:keepLines/>
              <w:widowControl/>
            </w:pPr>
            <w:r w:rsidRPr="00312836">
              <w:t>High abundance/productivity impacts</w:t>
            </w:r>
          </w:p>
        </w:tc>
      </w:tr>
      <w:tr w:rsidR="00312836" w:rsidRPr="00312836" w14:paraId="6AE5FA16" w14:textId="77777777" w:rsidTr="00312836">
        <w:trPr>
          <w:trHeight w:val="315"/>
        </w:trPr>
        <w:tc>
          <w:tcPr>
            <w:tcW w:w="4360" w:type="dxa"/>
            <w:tcBorders>
              <w:top w:val="nil"/>
              <w:left w:val="single" w:sz="8" w:space="0" w:color="auto"/>
              <w:bottom w:val="single" w:sz="8" w:space="0" w:color="auto"/>
              <w:right w:val="single" w:sz="8" w:space="0" w:color="auto"/>
            </w:tcBorders>
            <w:shd w:val="clear" w:color="000000" w:fill="FFFF00"/>
            <w:vAlign w:val="bottom"/>
            <w:hideMark/>
          </w:tcPr>
          <w:p w14:paraId="339DDA10" w14:textId="77777777" w:rsidR="00312836" w:rsidRPr="00312836" w:rsidRDefault="00312836" w:rsidP="007E4609">
            <w:pPr>
              <w:pStyle w:val="Reference0"/>
              <w:keepNext/>
              <w:keepLines/>
              <w:widowControl/>
            </w:pPr>
            <w:r w:rsidRPr="00312836">
              <w:t>Frequency of Stressor Occurrence</w:t>
            </w:r>
          </w:p>
        </w:tc>
        <w:tc>
          <w:tcPr>
            <w:tcW w:w="4320" w:type="dxa"/>
            <w:tcBorders>
              <w:top w:val="nil"/>
              <w:left w:val="nil"/>
              <w:bottom w:val="single" w:sz="8" w:space="0" w:color="auto"/>
              <w:right w:val="single" w:sz="8" w:space="0" w:color="auto"/>
            </w:tcBorders>
            <w:shd w:val="clear" w:color="auto" w:fill="auto"/>
            <w:noWrap/>
            <w:vAlign w:val="bottom"/>
            <w:hideMark/>
          </w:tcPr>
          <w:p w14:paraId="49C3782C" w14:textId="77777777" w:rsidR="00312836" w:rsidRPr="00312836" w:rsidRDefault="00312836" w:rsidP="007E4609">
            <w:pPr>
              <w:pStyle w:val="Reference0"/>
              <w:keepNext/>
              <w:keepLines/>
              <w:widowControl/>
            </w:pPr>
            <w:r w:rsidRPr="00312836">
              <w:t>Severe abundance/productivity Impacts</w:t>
            </w:r>
          </w:p>
        </w:tc>
      </w:tr>
      <w:tr w:rsidR="00312836" w:rsidRPr="00312836" w14:paraId="6CA77A23" w14:textId="77777777" w:rsidTr="00312836">
        <w:trPr>
          <w:trHeight w:val="315"/>
        </w:trPr>
        <w:tc>
          <w:tcPr>
            <w:tcW w:w="4360" w:type="dxa"/>
            <w:tcBorders>
              <w:top w:val="nil"/>
              <w:left w:val="single" w:sz="8" w:space="0" w:color="auto"/>
              <w:bottom w:val="nil"/>
              <w:right w:val="single" w:sz="8" w:space="0" w:color="auto"/>
            </w:tcBorders>
            <w:shd w:val="clear" w:color="auto" w:fill="auto"/>
            <w:noWrap/>
            <w:vAlign w:val="bottom"/>
            <w:hideMark/>
          </w:tcPr>
          <w:p w14:paraId="13B8107C" w14:textId="77777777" w:rsidR="00312836" w:rsidRPr="00312836" w:rsidRDefault="00312836" w:rsidP="007E4609">
            <w:pPr>
              <w:pStyle w:val="Reference0"/>
              <w:keepNext/>
              <w:keepLines/>
              <w:widowControl/>
            </w:pPr>
            <w:r w:rsidRPr="00312836">
              <w:t>Never occurs</w:t>
            </w:r>
          </w:p>
        </w:tc>
        <w:tc>
          <w:tcPr>
            <w:tcW w:w="4320" w:type="dxa"/>
            <w:tcBorders>
              <w:top w:val="nil"/>
              <w:left w:val="nil"/>
              <w:bottom w:val="single" w:sz="8" w:space="0" w:color="auto"/>
              <w:right w:val="single" w:sz="8" w:space="0" w:color="auto"/>
            </w:tcBorders>
            <w:shd w:val="clear" w:color="000000" w:fill="92D050"/>
            <w:noWrap/>
            <w:vAlign w:val="bottom"/>
            <w:hideMark/>
          </w:tcPr>
          <w:p w14:paraId="175D2D81" w14:textId="77777777" w:rsidR="00312836" w:rsidRPr="00312836" w:rsidRDefault="00312836" w:rsidP="007E4609">
            <w:pPr>
              <w:pStyle w:val="Reference0"/>
              <w:keepNext/>
              <w:keepLines/>
              <w:widowControl/>
            </w:pPr>
            <w:r w:rsidRPr="00312836">
              <w:t>Habitat Endpoints</w:t>
            </w:r>
          </w:p>
        </w:tc>
      </w:tr>
      <w:tr w:rsidR="00312836" w:rsidRPr="00312836" w14:paraId="4BE1AD5C" w14:textId="77777777" w:rsidTr="00312836">
        <w:trPr>
          <w:trHeight w:val="315"/>
        </w:trPr>
        <w:tc>
          <w:tcPr>
            <w:tcW w:w="4360" w:type="dxa"/>
            <w:tcBorders>
              <w:top w:val="nil"/>
              <w:left w:val="single" w:sz="8" w:space="0" w:color="auto"/>
              <w:bottom w:val="nil"/>
              <w:right w:val="single" w:sz="8" w:space="0" w:color="auto"/>
            </w:tcBorders>
            <w:shd w:val="clear" w:color="auto" w:fill="auto"/>
            <w:noWrap/>
            <w:vAlign w:val="bottom"/>
            <w:hideMark/>
          </w:tcPr>
          <w:p w14:paraId="70058D78" w14:textId="77777777" w:rsidR="00312836" w:rsidRPr="00312836" w:rsidRDefault="00312836" w:rsidP="007E4609">
            <w:pPr>
              <w:pStyle w:val="Reference0"/>
              <w:keepNext/>
              <w:keepLines/>
              <w:widowControl/>
            </w:pPr>
            <w:r w:rsidRPr="00312836">
              <w:t>Rare</w:t>
            </w:r>
          </w:p>
        </w:tc>
        <w:tc>
          <w:tcPr>
            <w:tcW w:w="4320" w:type="dxa"/>
            <w:tcBorders>
              <w:top w:val="nil"/>
              <w:left w:val="nil"/>
              <w:bottom w:val="single" w:sz="8" w:space="0" w:color="auto"/>
              <w:right w:val="single" w:sz="8" w:space="0" w:color="auto"/>
            </w:tcBorders>
            <w:shd w:val="clear" w:color="000000" w:fill="FFFF00"/>
            <w:vAlign w:val="bottom"/>
            <w:hideMark/>
          </w:tcPr>
          <w:p w14:paraId="20111F12" w14:textId="5BA72599" w:rsidR="00312836" w:rsidRPr="00312836" w:rsidRDefault="00312836" w:rsidP="007E4609">
            <w:pPr>
              <w:pStyle w:val="Reference0"/>
              <w:keepNext/>
              <w:keepLines/>
              <w:widowControl/>
            </w:pPr>
            <w:r w:rsidRPr="00312836">
              <w:t>Functional Impact</w:t>
            </w:r>
            <w:r w:rsidR="001215BB">
              <w:t xml:space="preserve"> (based on VME definitions)</w:t>
            </w:r>
          </w:p>
        </w:tc>
      </w:tr>
      <w:tr w:rsidR="00312836" w:rsidRPr="00312836" w14:paraId="5B36D470"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2BC488A0" w14:textId="77777777" w:rsidR="00312836" w:rsidRPr="00312836" w:rsidRDefault="00312836" w:rsidP="007E4609">
            <w:pPr>
              <w:pStyle w:val="Reference0"/>
              <w:keepNext/>
              <w:keepLines/>
              <w:widowControl/>
            </w:pPr>
            <w:r w:rsidRPr="00312836">
              <w:t>Occasional</w:t>
            </w:r>
          </w:p>
        </w:tc>
        <w:tc>
          <w:tcPr>
            <w:tcW w:w="4320" w:type="dxa"/>
            <w:tcBorders>
              <w:top w:val="nil"/>
              <w:left w:val="nil"/>
              <w:bottom w:val="nil"/>
              <w:right w:val="single" w:sz="8" w:space="0" w:color="auto"/>
            </w:tcBorders>
            <w:shd w:val="clear" w:color="auto" w:fill="auto"/>
            <w:noWrap/>
            <w:vAlign w:val="bottom"/>
            <w:hideMark/>
          </w:tcPr>
          <w:p w14:paraId="2DBA32AD" w14:textId="25EE793D" w:rsidR="00312836" w:rsidRPr="00312836" w:rsidRDefault="00312836" w:rsidP="007E4609">
            <w:pPr>
              <w:pStyle w:val="Reference0"/>
              <w:keepNext/>
              <w:keepLines/>
              <w:widowControl/>
            </w:pPr>
            <w:r w:rsidRPr="00312836">
              <w:t xml:space="preserve">No </w:t>
            </w:r>
            <w:r w:rsidR="007E4609" w:rsidRPr="00312836">
              <w:t>thre</w:t>
            </w:r>
            <w:r w:rsidRPr="00312836">
              <w:t>at</w:t>
            </w:r>
          </w:p>
        </w:tc>
      </w:tr>
      <w:tr w:rsidR="00312836" w:rsidRPr="00312836" w14:paraId="4FF75298"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6180B25D" w14:textId="017B5C25" w:rsidR="00312836" w:rsidRPr="00312836" w:rsidRDefault="007E4609" w:rsidP="007E4609">
            <w:pPr>
              <w:pStyle w:val="Reference0"/>
              <w:keepNext/>
              <w:keepLines/>
              <w:widowControl/>
            </w:pPr>
            <w:r w:rsidRPr="00312836">
              <w:t>Periodic/seasonal</w:t>
            </w:r>
          </w:p>
        </w:tc>
        <w:tc>
          <w:tcPr>
            <w:tcW w:w="4320" w:type="dxa"/>
            <w:tcBorders>
              <w:top w:val="nil"/>
              <w:left w:val="nil"/>
              <w:bottom w:val="nil"/>
              <w:right w:val="single" w:sz="8" w:space="0" w:color="auto"/>
            </w:tcBorders>
            <w:shd w:val="clear" w:color="auto" w:fill="auto"/>
            <w:noWrap/>
            <w:vAlign w:val="bottom"/>
            <w:hideMark/>
          </w:tcPr>
          <w:p w14:paraId="21478649" w14:textId="77777777" w:rsidR="00312836" w:rsidRPr="00312836" w:rsidRDefault="00312836" w:rsidP="007E4609">
            <w:pPr>
              <w:pStyle w:val="Reference0"/>
              <w:keepNext/>
              <w:keepLines/>
              <w:widowControl/>
            </w:pPr>
            <w:r w:rsidRPr="00312836">
              <w:t>Species</w:t>
            </w:r>
          </w:p>
        </w:tc>
      </w:tr>
      <w:tr w:rsidR="00312836" w:rsidRPr="00312836" w14:paraId="41A08F34" w14:textId="77777777" w:rsidTr="00312836">
        <w:trPr>
          <w:trHeight w:val="315"/>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5E287446" w14:textId="77777777" w:rsidR="00312836" w:rsidRPr="00312836" w:rsidRDefault="00312836" w:rsidP="007E4609">
            <w:pPr>
              <w:pStyle w:val="Reference0"/>
              <w:keepNext/>
              <w:keepLines/>
              <w:widowControl/>
            </w:pPr>
            <w:r w:rsidRPr="00312836">
              <w:t>Persistent</w:t>
            </w:r>
          </w:p>
        </w:tc>
        <w:tc>
          <w:tcPr>
            <w:tcW w:w="4320" w:type="dxa"/>
            <w:tcBorders>
              <w:top w:val="nil"/>
              <w:left w:val="nil"/>
              <w:bottom w:val="nil"/>
              <w:right w:val="single" w:sz="8" w:space="0" w:color="auto"/>
            </w:tcBorders>
            <w:shd w:val="clear" w:color="auto" w:fill="auto"/>
            <w:noWrap/>
            <w:vAlign w:val="bottom"/>
            <w:hideMark/>
          </w:tcPr>
          <w:p w14:paraId="51018037" w14:textId="51350F8E" w:rsidR="00312836" w:rsidRPr="00312836" w:rsidRDefault="00312836" w:rsidP="007E4609">
            <w:pPr>
              <w:pStyle w:val="Reference0"/>
              <w:keepNext/>
              <w:keepLines/>
              <w:widowControl/>
            </w:pPr>
            <w:r w:rsidRPr="00312836">
              <w:t xml:space="preserve">Single </w:t>
            </w:r>
            <w:r w:rsidR="007E4609" w:rsidRPr="00312836">
              <w:t>trophic</w:t>
            </w:r>
            <w:r w:rsidR="007E4609">
              <w:t xml:space="preserve"> level</w:t>
            </w:r>
          </w:p>
        </w:tc>
      </w:tr>
      <w:tr w:rsidR="00312836" w:rsidRPr="00312836" w14:paraId="13BA3B63" w14:textId="77777777" w:rsidTr="00312836">
        <w:trPr>
          <w:trHeight w:val="315"/>
        </w:trPr>
        <w:tc>
          <w:tcPr>
            <w:tcW w:w="4360" w:type="dxa"/>
            <w:tcBorders>
              <w:top w:val="nil"/>
              <w:left w:val="single" w:sz="8" w:space="0" w:color="auto"/>
              <w:bottom w:val="single" w:sz="8" w:space="0" w:color="auto"/>
              <w:right w:val="single" w:sz="8" w:space="0" w:color="auto"/>
            </w:tcBorders>
            <w:shd w:val="clear" w:color="000000" w:fill="FFFF00"/>
            <w:vAlign w:val="bottom"/>
            <w:hideMark/>
          </w:tcPr>
          <w:p w14:paraId="47A293D5" w14:textId="54D18771" w:rsidR="00312836" w:rsidRPr="00312836" w:rsidRDefault="00312836" w:rsidP="007E4609">
            <w:pPr>
              <w:pStyle w:val="Reference0"/>
              <w:keepNext/>
              <w:keepLines/>
              <w:widowControl/>
            </w:pPr>
            <w:r w:rsidRPr="00312836">
              <w:t xml:space="preserve">Resistance of </w:t>
            </w:r>
            <w:r w:rsidR="007E4609" w:rsidRPr="00312836">
              <w:t xml:space="preserve">Endpoint </w:t>
            </w:r>
            <w:r w:rsidR="007E4609">
              <w:t>t</w:t>
            </w:r>
            <w:r w:rsidR="007E4609" w:rsidRPr="00312836">
              <w:t>o Stressor</w:t>
            </w:r>
          </w:p>
        </w:tc>
        <w:tc>
          <w:tcPr>
            <w:tcW w:w="4320" w:type="dxa"/>
            <w:tcBorders>
              <w:top w:val="nil"/>
              <w:left w:val="nil"/>
              <w:bottom w:val="nil"/>
              <w:right w:val="single" w:sz="8" w:space="0" w:color="auto"/>
            </w:tcBorders>
            <w:shd w:val="clear" w:color="auto" w:fill="auto"/>
            <w:noWrap/>
            <w:vAlign w:val="bottom"/>
            <w:hideMark/>
          </w:tcPr>
          <w:p w14:paraId="430E3955" w14:textId="384234A1" w:rsidR="00312836" w:rsidRPr="00312836" w:rsidRDefault="007E4609" w:rsidP="007E4609">
            <w:pPr>
              <w:pStyle w:val="Reference0"/>
              <w:keepNext/>
              <w:keepLines/>
              <w:widowControl/>
            </w:pPr>
            <w:r>
              <w:t>More than one t</w:t>
            </w:r>
            <w:r w:rsidR="00312836" w:rsidRPr="00312836">
              <w:t>rophic</w:t>
            </w:r>
            <w:r>
              <w:t xml:space="preserve"> level</w:t>
            </w:r>
          </w:p>
        </w:tc>
      </w:tr>
      <w:tr w:rsidR="00312836" w:rsidRPr="00312836" w14:paraId="7DA429FD" w14:textId="77777777" w:rsidTr="00312836">
        <w:trPr>
          <w:trHeight w:val="315"/>
        </w:trPr>
        <w:tc>
          <w:tcPr>
            <w:tcW w:w="4360" w:type="dxa"/>
            <w:tcBorders>
              <w:top w:val="nil"/>
              <w:left w:val="single" w:sz="8" w:space="0" w:color="auto"/>
              <w:bottom w:val="nil"/>
              <w:right w:val="single" w:sz="8" w:space="0" w:color="auto"/>
            </w:tcBorders>
            <w:shd w:val="clear" w:color="auto" w:fill="auto"/>
            <w:noWrap/>
            <w:vAlign w:val="bottom"/>
            <w:hideMark/>
          </w:tcPr>
          <w:p w14:paraId="6A84FFB5" w14:textId="08587933" w:rsidR="00312836" w:rsidRPr="00312836" w:rsidRDefault="007E4609" w:rsidP="007E4609">
            <w:pPr>
              <w:pStyle w:val="Reference0"/>
              <w:keepNext/>
              <w:keepLines/>
              <w:widowControl/>
            </w:pPr>
            <w:r w:rsidRPr="00312836">
              <w:t>No impact</w:t>
            </w:r>
          </w:p>
        </w:tc>
        <w:tc>
          <w:tcPr>
            <w:tcW w:w="4320" w:type="dxa"/>
            <w:tcBorders>
              <w:top w:val="nil"/>
              <w:left w:val="nil"/>
              <w:bottom w:val="single" w:sz="8" w:space="0" w:color="auto"/>
              <w:right w:val="single" w:sz="8" w:space="0" w:color="auto"/>
            </w:tcBorders>
            <w:shd w:val="clear" w:color="auto" w:fill="auto"/>
            <w:noWrap/>
            <w:vAlign w:val="bottom"/>
            <w:hideMark/>
          </w:tcPr>
          <w:p w14:paraId="0B52AC2E" w14:textId="77777777" w:rsidR="00312836" w:rsidRPr="00312836" w:rsidRDefault="00312836" w:rsidP="007E4609">
            <w:pPr>
              <w:pStyle w:val="Reference0"/>
              <w:keepNext/>
              <w:keepLines/>
              <w:widowControl/>
            </w:pPr>
            <w:r w:rsidRPr="00312836">
              <w:t>Entire Community</w:t>
            </w:r>
          </w:p>
        </w:tc>
      </w:tr>
      <w:tr w:rsidR="00312836" w:rsidRPr="00312836" w14:paraId="1D792B6A"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1DEBC17A" w14:textId="1EF91242" w:rsidR="00312836" w:rsidRPr="00312836" w:rsidRDefault="007E4609" w:rsidP="007E4609">
            <w:pPr>
              <w:pStyle w:val="Reference0"/>
              <w:keepNext/>
              <w:keepLines/>
              <w:widowControl/>
            </w:pPr>
            <w:r w:rsidRPr="00312836">
              <w:t>High resistance</w:t>
            </w:r>
          </w:p>
        </w:tc>
        <w:tc>
          <w:tcPr>
            <w:tcW w:w="4320" w:type="dxa"/>
            <w:tcBorders>
              <w:top w:val="nil"/>
              <w:left w:val="nil"/>
              <w:bottom w:val="nil"/>
              <w:right w:val="nil"/>
            </w:tcBorders>
            <w:shd w:val="clear" w:color="auto" w:fill="auto"/>
            <w:noWrap/>
            <w:vAlign w:val="bottom"/>
            <w:hideMark/>
          </w:tcPr>
          <w:p w14:paraId="786A34D1" w14:textId="77777777" w:rsidR="00312836" w:rsidRPr="00312836" w:rsidRDefault="00312836" w:rsidP="007E4609">
            <w:pPr>
              <w:pStyle w:val="Reference0"/>
              <w:keepNext/>
              <w:keepLines/>
              <w:widowControl/>
            </w:pPr>
          </w:p>
        </w:tc>
      </w:tr>
      <w:tr w:rsidR="00312836" w:rsidRPr="00312836" w14:paraId="6D67453F"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4C835427" w14:textId="710314E0" w:rsidR="00312836" w:rsidRPr="00312836" w:rsidRDefault="007E4609" w:rsidP="007E4609">
            <w:pPr>
              <w:pStyle w:val="Reference0"/>
              <w:keepNext/>
              <w:keepLines/>
              <w:widowControl/>
            </w:pPr>
            <w:r w:rsidRPr="00312836">
              <w:t>Medium resistance</w:t>
            </w:r>
          </w:p>
        </w:tc>
        <w:tc>
          <w:tcPr>
            <w:tcW w:w="4320" w:type="dxa"/>
            <w:tcBorders>
              <w:top w:val="nil"/>
              <w:left w:val="nil"/>
              <w:bottom w:val="nil"/>
              <w:right w:val="nil"/>
            </w:tcBorders>
            <w:shd w:val="clear" w:color="auto" w:fill="auto"/>
            <w:noWrap/>
            <w:vAlign w:val="bottom"/>
            <w:hideMark/>
          </w:tcPr>
          <w:p w14:paraId="6540436B" w14:textId="77777777" w:rsidR="00312836" w:rsidRPr="00312836" w:rsidRDefault="00312836" w:rsidP="007E4609">
            <w:pPr>
              <w:pStyle w:val="Reference0"/>
              <w:keepNext/>
              <w:keepLines/>
              <w:widowControl/>
            </w:pPr>
          </w:p>
        </w:tc>
      </w:tr>
      <w:tr w:rsidR="00312836" w:rsidRPr="00312836" w14:paraId="3331CB62" w14:textId="77777777" w:rsidTr="00312836">
        <w:trPr>
          <w:trHeight w:val="315"/>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2DD878E0" w14:textId="50862EBD" w:rsidR="00312836" w:rsidRPr="00312836" w:rsidRDefault="007E4609" w:rsidP="007E4609">
            <w:pPr>
              <w:pStyle w:val="Reference0"/>
              <w:keepNext/>
              <w:keepLines/>
              <w:widowControl/>
            </w:pPr>
            <w:r w:rsidRPr="00312836">
              <w:t>Low resistance</w:t>
            </w:r>
          </w:p>
        </w:tc>
        <w:tc>
          <w:tcPr>
            <w:tcW w:w="4320" w:type="dxa"/>
            <w:tcBorders>
              <w:top w:val="nil"/>
              <w:left w:val="nil"/>
              <w:bottom w:val="nil"/>
              <w:right w:val="nil"/>
            </w:tcBorders>
            <w:shd w:val="clear" w:color="auto" w:fill="auto"/>
            <w:noWrap/>
            <w:vAlign w:val="bottom"/>
            <w:hideMark/>
          </w:tcPr>
          <w:p w14:paraId="64A1EDEF" w14:textId="77777777" w:rsidR="00312836" w:rsidRPr="00312836" w:rsidRDefault="00312836" w:rsidP="007E4609">
            <w:pPr>
              <w:pStyle w:val="Reference0"/>
              <w:keepNext/>
              <w:keepLines/>
              <w:widowControl/>
            </w:pPr>
          </w:p>
        </w:tc>
      </w:tr>
      <w:tr w:rsidR="00312836" w:rsidRPr="00312836" w14:paraId="47D522CE" w14:textId="77777777" w:rsidTr="00312836">
        <w:trPr>
          <w:trHeight w:val="315"/>
        </w:trPr>
        <w:tc>
          <w:tcPr>
            <w:tcW w:w="4360" w:type="dxa"/>
            <w:tcBorders>
              <w:top w:val="nil"/>
              <w:left w:val="single" w:sz="8" w:space="0" w:color="auto"/>
              <w:bottom w:val="single" w:sz="8" w:space="0" w:color="auto"/>
              <w:right w:val="single" w:sz="8" w:space="0" w:color="auto"/>
            </w:tcBorders>
            <w:shd w:val="clear" w:color="000000" w:fill="FFFF00"/>
            <w:vAlign w:val="bottom"/>
            <w:hideMark/>
          </w:tcPr>
          <w:p w14:paraId="1854351D" w14:textId="77777777" w:rsidR="00312836" w:rsidRPr="00312836" w:rsidRDefault="00312836" w:rsidP="007E4609">
            <w:pPr>
              <w:pStyle w:val="Reference0"/>
              <w:keepNext/>
              <w:keepLines/>
              <w:widowControl/>
            </w:pPr>
            <w:r w:rsidRPr="00312836">
              <w:t>Recovery Time of Endpoint</w:t>
            </w:r>
          </w:p>
        </w:tc>
        <w:tc>
          <w:tcPr>
            <w:tcW w:w="4320" w:type="dxa"/>
            <w:tcBorders>
              <w:top w:val="nil"/>
              <w:left w:val="nil"/>
              <w:bottom w:val="nil"/>
              <w:right w:val="nil"/>
            </w:tcBorders>
            <w:shd w:val="clear" w:color="auto" w:fill="auto"/>
            <w:noWrap/>
            <w:vAlign w:val="bottom"/>
            <w:hideMark/>
          </w:tcPr>
          <w:p w14:paraId="71864A16" w14:textId="77777777" w:rsidR="00312836" w:rsidRPr="00312836" w:rsidRDefault="00312836" w:rsidP="007E4609">
            <w:pPr>
              <w:pStyle w:val="Reference0"/>
              <w:keepNext/>
              <w:keepLines/>
              <w:widowControl/>
            </w:pPr>
          </w:p>
        </w:tc>
      </w:tr>
      <w:tr w:rsidR="00312836" w:rsidRPr="00312836" w14:paraId="2D9AFDA6"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56A51991" w14:textId="30D8FB14" w:rsidR="00312836" w:rsidRPr="00312836" w:rsidRDefault="007E4609" w:rsidP="007E4609">
            <w:pPr>
              <w:pStyle w:val="Reference0"/>
              <w:keepNext/>
              <w:keepLines/>
              <w:widowControl/>
            </w:pPr>
            <w:r w:rsidRPr="00312836">
              <w:t>No impact</w:t>
            </w:r>
          </w:p>
        </w:tc>
        <w:tc>
          <w:tcPr>
            <w:tcW w:w="4320" w:type="dxa"/>
            <w:tcBorders>
              <w:top w:val="nil"/>
              <w:left w:val="nil"/>
              <w:bottom w:val="nil"/>
              <w:right w:val="nil"/>
            </w:tcBorders>
            <w:shd w:val="clear" w:color="auto" w:fill="auto"/>
            <w:noWrap/>
            <w:vAlign w:val="bottom"/>
            <w:hideMark/>
          </w:tcPr>
          <w:p w14:paraId="16D2BCA0" w14:textId="77777777" w:rsidR="00312836" w:rsidRPr="00312836" w:rsidRDefault="00312836" w:rsidP="007E4609">
            <w:pPr>
              <w:pStyle w:val="Reference0"/>
              <w:keepNext/>
              <w:keepLines/>
              <w:widowControl/>
            </w:pPr>
          </w:p>
        </w:tc>
      </w:tr>
      <w:tr w:rsidR="00312836" w:rsidRPr="00312836" w14:paraId="713B568E"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2E0193A3" w14:textId="77777777" w:rsidR="00312836" w:rsidRPr="00312836" w:rsidRDefault="00312836" w:rsidP="007E4609">
            <w:pPr>
              <w:pStyle w:val="Reference0"/>
              <w:keepNext/>
              <w:keepLines/>
              <w:widowControl/>
            </w:pPr>
            <w:r w:rsidRPr="00312836">
              <w:t>Less than 1 year</w:t>
            </w:r>
          </w:p>
        </w:tc>
        <w:tc>
          <w:tcPr>
            <w:tcW w:w="4320" w:type="dxa"/>
            <w:tcBorders>
              <w:top w:val="nil"/>
              <w:left w:val="nil"/>
              <w:bottom w:val="nil"/>
              <w:right w:val="nil"/>
            </w:tcBorders>
            <w:shd w:val="clear" w:color="auto" w:fill="auto"/>
            <w:noWrap/>
            <w:vAlign w:val="bottom"/>
            <w:hideMark/>
          </w:tcPr>
          <w:p w14:paraId="0D898EE3" w14:textId="77777777" w:rsidR="00312836" w:rsidRPr="00312836" w:rsidRDefault="00312836" w:rsidP="007E4609">
            <w:pPr>
              <w:pStyle w:val="Reference0"/>
              <w:keepNext/>
              <w:keepLines/>
              <w:widowControl/>
            </w:pPr>
          </w:p>
        </w:tc>
      </w:tr>
      <w:tr w:rsidR="00312836" w:rsidRPr="00312836" w14:paraId="6627F07E"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0C74795B" w14:textId="77777777" w:rsidR="00312836" w:rsidRPr="00312836" w:rsidRDefault="00312836" w:rsidP="007E4609">
            <w:pPr>
              <w:pStyle w:val="Reference0"/>
              <w:keepNext/>
              <w:keepLines/>
              <w:widowControl/>
            </w:pPr>
            <w:r w:rsidRPr="00312836">
              <w:t>1 - 10 years</w:t>
            </w:r>
          </w:p>
        </w:tc>
        <w:tc>
          <w:tcPr>
            <w:tcW w:w="4320" w:type="dxa"/>
            <w:tcBorders>
              <w:top w:val="nil"/>
              <w:left w:val="nil"/>
              <w:bottom w:val="nil"/>
              <w:right w:val="nil"/>
            </w:tcBorders>
            <w:shd w:val="clear" w:color="auto" w:fill="auto"/>
            <w:noWrap/>
            <w:vAlign w:val="bottom"/>
            <w:hideMark/>
          </w:tcPr>
          <w:p w14:paraId="6B603D98" w14:textId="77777777" w:rsidR="00312836" w:rsidRPr="00312836" w:rsidRDefault="00312836" w:rsidP="007E4609">
            <w:pPr>
              <w:pStyle w:val="Reference0"/>
              <w:keepNext/>
              <w:keepLines/>
              <w:widowControl/>
            </w:pPr>
          </w:p>
        </w:tc>
      </w:tr>
      <w:tr w:rsidR="00312836" w:rsidRPr="00312836" w14:paraId="45199DEA" w14:textId="77777777" w:rsidTr="00312836">
        <w:trPr>
          <w:trHeight w:val="300"/>
        </w:trPr>
        <w:tc>
          <w:tcPr>
            <w:tcW w:w="4360" w:type="dxa"/>
            <w:tcBorders>
              <w:top w:val="nil"/>
              <w:left w:val="single" w:sz="8" w:space="0" w:color="auto"/>
              <w:bottom w:val="nil"/>
              <w:right w:val="single" w:sz="8" w:space="0" w:color="auto"/>
            </w:tcBorders>
            <w:shd w:val="clear" w:color="auto" w:fill="auto"/>
            <w:noWrap/>
            <w:vAlign w:val="bottom"/>
            <w:hideMark/>
          </w:tcPr>
          <w:p w14:paraId="254210C7" w14:textId="77777777" w:rsidR="00312836" w:rsidRPr="00312836" w:rsidRDefault="00312836" w:rsidP="007E4609">
            <w:pPr>
              <w:pStyle w:val="Reference0"/>
              <w:keepNext/>
              <w:keepLines/>
              <w:widowControl/>
            </w:pPr>
            <w:r w:rsidRPr="00312836">
              <w:t>10 - 100 years</w:t>
            </w:r>
          </w:p>
        </w:tc>
        <w:tc>
          <w:tcPr>
            <w:tcW w:w="4320" w:type="dxa"/>
            <w:tcBorders>
              <w:top w:val="nil"/>
              <w:left w:val="nil"/>
              <w:bottom w:val="nil"/>
              <w:right w:val="nil"/>
            </w:tcBorders>
            <w:shd w:val="clear" w:color="auto" w:fill="auto"/>
            <w:noWrap/>
            <w:vAlign w:val="bottom"/>
            <w:hideMark/>
          </w:tcPr>
          <w:p w14:paraId="728A778F" w14:textId="77777777" w:rsidR="00312836" w:rsidRPr="00312836" w:rsidRDefault="00312836" w:rsidP="007E4609">
            <w:pPr>
              <w:pStyle w:val="Reference0"/>
              <w:keepNext/>
              <w:keepLines/>
              <w:widowControl/>
            </w:pPr>
          </w:p>
        </w:tc>
      </w:tr>
      <w:tr w:rsidR="00312836" w:rsidRPr="00312836" w14:paraId="7A886CD6" w14:textId="77777777" w:rsidTr="00312836">
        <w:trPr>
          <w:trHeight w:val="315"/>
        </w:trPr>
        <w:tc>
          <w:tcPr>
            <w:tcW w:w="4360" w:type="dxa"/>
            <w:tcBorders>
              <w:top w:val="nil"/>
              <w:left w:val="single" w:sz="8" w:space="0" w:color="auto"/>
              <w:bottom w:val="single" w:sz="8" w:space="0" w:color="auto"/>
              <w:right w:val="single" w:sz="8" w:space="0" w:color="auto"/>
            </w:tcBorders>
            <w:shd w:val="clear" w:color="auto" w:fill="auto"/>
            <w:noWrap/>
            <w:vAlign w:val="bottom"/>
            <w:hideMark/>
          </w:tcPr>
          <w:p w14:paraId="02CBE251" w14:textId="77777777" w:rsidR="00312836" w:rsidRPr="00312836" w:rsidRDefault="00312836" w:rsidP="007E4609">
            <w:pPr>
              <w:pStyle w:val="Reference0"/>
              <w:keepNext/>
              <w:keepLines/>
              <w:widowControl/>
            </w:pPr>
            <w:r w:rsidRPr="00312836">
              <w:t xml:space="preserve">Greater than 100 </w:t>
            </w:r>
            <w:proofErr w:type="spellStart"/>
            <w:r w:rsidRPr="00312836">
              <w:t>yrs</w:t>
            </w:r>
            <w:proofErr w:type="spellEnd"/>
          </w:p>
        </w:tc>
        <w:tc>
          <w:tcPr>
            <w:tcW w:w="4320" w:type="dxa"/>
            <w:tcBorders>
              <w:top w:val="nil"/>
              <w:left w:val="nil"/>
              <w:bottom w:val="nil"/>
              <w:right w:val="nil"/>
            </w:tcBorders>
            <w:shd w:val="clear" w:color="auto" w:fill="auto"/>
            <w:noWrap/>
            <w:vAlign w:val="bottom"/>
            <w:hideMark/>
          </w:tcPr>
          <w:p w14:paraId="62B5FBC4" w14:textId="77777777" w:rsidR="00312836" w:rsidRPr="00312836" w:rsidRDefault="00312836" w:rsidP="007E4609">
            <w:pPr>
              <w:pStyle w:val="Reference0"/>
              <w:keepNext/>
              <w:keepLines/>
              <w:widowControl/>
            </w:pPr>
          </w:p>
        </w:tc>
      </w:tr>
    </w:tbl>
    <w:p w14:paraId="37D5D8EB" w14:textId="77777777" w:rsidR="00892D05" w:rsidRPr="009F11B4" w:rsidRDefault="00892D05" w:rsidP="00BF56F2"/>
    <w:p w14:paraId="13FA0492" w14:textId="77777777" w:rsidR="00BF56F2" w:rsidRDefault="00BF56F2" w:rsidP="00BF56F2">
      <w:pPr>
        <w:pStyle w:val="Heading3"/>
      </w:pPr>
      <w:bookmarkStart w:id="15" w:name="_Toc256149267"/>
      <w:r>
        <w:t>Assessing and representing uncertainty</w:t>
      </w:r>
      <w:bookmarkEnd w:id="15"/>
    </w:p>
    <w:p w14:paraId="554277D8" w14:textId="2C0D69BE" w:rsidR="00C53C3D" w:rsidRDefault="00BF56F2" w:rsidP="00C53C3D">
      <w:r>
        <w:t xml:space="preserve">In contrast to the “uncertainty factor” approach used by Halpern et al. (2007) to represent uncertainty in the intrinsic vulnerability score, we recommend assessing the uncertainty in each of the assessed vulnerability criteria using </w:t>
      </w:r>
      <w:r w:rsidR="00B547C7">
        <w:t>expert-</w:t>
      </w:r>
      <w:r w:rsidR="009D6631">
        <w:t>elicited probability</w:t>
      </w:r>
      <w:r>
        <w:t xml:space="preserve"> </w:t>
      </w:r>
      <w:r w:rsidR="00B547C7">
        <w:t>distributions</w:t>
      </w:r>
      <w:r w:rsidR="008B65DA">
        <w:t xml:space="preserve">. </w:t>
      </w:r>
      <w:r w:rsidR="00C53C3D">
        <w:t xml:space="preserve">While a substantial discussion of the various probability tools that could be used to assess and model assessment uncertainty is beyond the scope of this report, we will briefly describe a few essential tools and refer the reader to other sources for more information.  For our purposes, we assume that our uncertainty pertains to a set of discrete </w:t>
      </w:r>
      <w:r w:rsidR="00C53C3D">
        <w:lastRenderedPageBreak/>
        <w:t>states, one and only one of which will hold true</w:t>
      </w:r>
      <w:r w:rsidR="00C53C3D">
        <w:rPr>
          <w:rStyle w:val="FootnoteReference"/>
        </w:rPr>
        <w:footnoteReference w:id="7"/>
      </w:r>
      <w:r w:rsidR="00C53C3D">
        <w:t>.  Our uncertainty can then be expressed in terms of a discrete (potentially conditional) probability distribution that could be expressed as a probability tree, assuming three generic possible states in this example:</w:t>
      </w:r>
    </w:p>
    <w:p w14:paraId="71FC84C3" w14:textId="77777777" w:rsidR="00C53C3D" w:rsidRDefault="00C53C3D" w:rsidP="00C53C3D">
      <w:r>
        <w:rPr>
          <w:noProof/>
        </w:rPr>
        <mc:AlternateContent>
          <mc:Choice Requires="wpg">
            <w:drawing>
              <wp:anchor distT="0" distB="0" distL="114300" distR="114300" simplePos="0" relativeHeight="251665408" behindDoc="0" locked="0" layoutInCell="1" allowOverlap="1" wp14:anchorId="0EFEF6A6" wp14:editId="6648F3BA">
                <wp:simplePos x="0" y="0"/>
                <wp:positionH relativeFrom="column">
                  <wp:posOffset>1418590</wp:posOffset>
                </wp:positionH>
                <wp:positionV relativeFrom="paragraph">
                  <wp:posOffset>0</wp:posOffset>
                </wp:positionV>
                <wp:extent cx="1503680" cy="1353185"/>
                <wp:effectExtent l="0" t="0" r="1270" b="0"/>
                <wp:wrapNone/>
                <wp:docPr id="63" name="Group 63"/>
                <wp:cNvGraphicFramePr/>
                <a:graphic xmlns:a="http://schemas.openxmlformats.org/drawingml/2006/main">
                  <a:graphicData uri="http://schemas.microsoft.com/office/word/2010/wordprocessingGroup">
                    <wpg:wgp>
                      <wpg:cNvGrpSpPr/>
                      <wpg:grpSpPr>
                        <a:xfrm>
                          <a:off x="0" y="0"/>
                          <a:ext cx="1503680" cy="1353185"/>
                          <a:chOff x="0" y="0"/>
                          <a:chExt cx="1280161" cy="1206807"/>
                        </a:xfrm>
                      </wpg:grpSpPr>
                      <wps:wsp>
                        <wps:cNvPr id="2049" name="Text Box 2049"/>
                        <wps:cNvSpPr txBox="1"/>
                        <wps:spPr>
                          <a:xfrm>
                            <a:off x="190485" y="148033"/>
                            <a:ext cx="312420" cy="297094"/>
                          </a:xfrm>
                          <a:prstGeom prst="rect">
                            <a:avLst/>
                          </a:prstGeom>
                          <a:solidFill>
                            <a:sysClr val="window" lastClr="FFFFFF"/>
                          </a:solidFill>
                          <a:ln w="6350">
                            <a:noFill/>
                          </a:ln>
                          <a:effectLst/>
                        </wps:spPr>
                        <wps:txbx>
                          <w:txbxContent>
                            <w:p w14:paraId="3F483EB9" w14:textId="728E4478" w:rsidR="00074ADD" w:rsidRPr="001A4FA9" w:rsidRDefault="00074ADD" w:rsidP="00C53C3D">
                              <w:pPr>
                                <w:rPr>
                                  <w:vertAlign w:val="subscript"/>
                                </w:rPr>
                              </w:pPr>
                              <w:r>
                                <w:t>p</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2" name="Text Box 2062"/>
                        <wps:cNvSpPr txBox="1"/>
                        <wps:spPr>
                          <a:xfrm>
                            <a:off x="563880" y="879147"/>
                            <a:ext cx="716281" cy="327660"/>
                          </a:xfrm>
                          <a:prstGeom prst="rect">
                            <a:avLst/>
                          </a:prstGeom>
                          <a:solidFill>
                            <a:sysClr val="window" lastClr="FFFFFF"/>
                          </a:solidFill>
                          <a:ln w="6350">
                            <a:noFill/>
                          </a:ln>
                          <a:effectLst/>
                        </wps:spPr>
                        <wps:txbx>
                          <w:txbxContent>
                            <w:p w14:paraId="519B1E11" w14:textId="77777777" w:rsidR="00074ADD" w:rsidRPr="00715968" w:rsidRDefault="00074ADD" w:rsidP="00C53C3D">
                              <w:pPr>
                                <w:rPr>
                                  <w:sz w:val="16"/>
                                </w:rPr>
                              </w:pPr>
                              <w:r w:rsidRPr="00715968">
                                <w:rPr>
                                  <w:sz w:val="16"/>
                                </w:rPr>
                                <w:t>State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8" name="Text Box 2048"/>
                        <wps:cNvSpPr txBox="1"/>
                        <wps:spPr>
                          <a:xfrm>
                            <a:off x="320013" y="743044"/>
                            <a:ext cx="312420" cy="342799"/>
                          </a:xfrm>
                          <a:prstGeom prst="rect">
                            <a:avLst/>
                          </a:prstGeom>
                          <a:solidFill>
                            <a:sysClr val="window" lastClr="FFFFFF"/>
                          </a:solidFill>
                          <a:ln w="6350">
                            <a:noFill/>
                          </a:ln>
                          <a:effectLst/>
                        </wps:spPr>
                        <wps:txbx>
                          <w:txbxContent>
                            <w:p w14:paraId="46DD4A5E" w14:textId="5ABF5C2E" w:rsidR="00074ADD" w:rsidRPr="001A4FA9" w:rsidRDefault="00074ADD" w:rsidP="00C53C3D">
                              <w:pPr>
                                <w:rPr>
                                  <w:vertAlign w:val="subscript"/>
                                </w:rPr>
                              </w:pPr>
                              <w:r>
                                <w:t>p</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0" name="Text Box 2050"/>
                        <wps:cNvSpPr txBox="1"/>
                        <wps:spPr>
                          <a:xfrm>
                            <a:off x="266678" y="398923"/>
                            <a:ext cx="312420" cy="304711"/>
                          </a:xfrm>
                          <a:prstGeom prst="rect">
                            <a:avLst/>
                          </a:prstGeom>
                          <a:solidFill>
                            <a:sysClr val="window" lastClr="FFFFFF"/>
                          </a:solidFill>
                          <a:ln w="6350">
                            <a:noFill/>
                          </a:ln>
                          <a:effectLst/>
                        </wps:spPr>
                        <wps:txbx>
                          <w:txbxContent>
                            <w:p w14:paraId="327AC9F9" w14:textId="450331F1" w:rsidR="00074ADD" w:rsidRPr="001A4FA9" w:rsidRDefault="00074ADD" w:rsidP="00C53C3D">
                              <w:pPr>
                                <w:rPr>
                                  <w:vertAlign w:val="subscript"/>
                                </w:rPr>
                              </w:pPr>
                              <w:r>
                                <w:t>p</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3" name="Oval 2053"/>
                        <wps:cNvSpPr/>
                        <wps:spPr>
                          <a:xfrm>
                            <a:off x="0" y="601980"/>
                            <a:ext cx="205740" cy="16764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Straight Connector 2054"/>
                        <wps:cNvCnPr/>
                        <wps:spPr>
                          <a:xfrm flipV="1">
                            <a:off x="160020" y="259080"/>
                            <a:ext cx="388620" cy="342900"/>
                          </a:xfrm>
                          <a:prstGeom prst="line">
                            <a:avLst/>
                          </a:prstGeom>
                          <a:noFill/>
                          <a:ln w="25400" cap="flat" cmpd="sng" algn="ctr">
                            <a:solidFill>
                              <a:srgbClr val="4F81BD">
                                <a:shade val="95000"/>
                                <a:satMod val="105000"/>
                              </a:srgbClr>
                            </a:solidFill>
                            <a:prstDash val="solid"/>
                          </a:ln>
                          <a:effectLst/>
                        </wps:spPr>
                        <wps:bodyPr/>
                      </wps:wsp>
                      <wps:wsp>
                        <wps:cNvPr id="2055" name="Straight Connector 2055"/>
                        <wps:cNvCnPr/>
                        <wps:spPr>
                          <a:xfrm flipV="1">
                            <a:off x="175260" y="777240"/>
                            <a:ext cx="388620" cy="342900"/>
                          </a:xfrm>
                          <a:prstGeom prst="line">
                            <a:avLst/>
                          </a:prstGeom>
                          <a:noFill/>
                          <a:ln w="25400" cap="flat" cmpd="sng" algn="ctr">
                            <a:solidFill>
                              <a:srgbClr val="4F81BD">
                                <a:shade val="95000"/>
                                <a:satMod val="105000"/>
                              </a:srgbClr>
                            </a:solidFill>
                            <a:prstDash val="solid"/>
                          </a:ln>
                          <a:effectLst/>
                          <a:scene3d>
                            <a:camera prst="orthographicFront">
                              <a:rot lat="10800000" lon="0" rev="0"/>
                            </a:camera>
                            <a:lightRig rig="threePt" dir="t"/>
                          </a:scene3d>
                        </wps:spPr>
                        <wps:bodyPr/>
                      </wps:wsp>
                      <wps:wsp>
                        <wps:cNvPr id="2056" name="Straight Connector 2056"/>
                        <wps:cNvCnPr/>
                        <wps:spPr>
                          <a:xfrm>
                            <a:off x="548640" y="259080"/>
                            <a:ext cx="556260" cy="7620"/>
                          </a:xfrm>
                          <a:prstGeom prst="line">
                            <a:avLst/>
                          </a:prstGeom>
                          <a:noFill/>
                          <a:ln w="25400" cap="flat" cmpd="sng" algn="ctr">
                            <a:solidFill>
                              <a:srgbClr val="4F81BD">
                                <a:shade val="95000"/>
                                <a:satMod val="105000"/>
                              </a:srgbClr>
                            </a:solidFill>
                            <a:prstDash val="solid"/>
                          </a:ln>
                          <a:effectLst/>
                        </wps:spPr>
                        <wps:bodyPr/>
                      </wps:wsp>
                      <wps:wsp>
                        <wps:cNvPr id="2057" name="Straight Connector 2057"/>
                        <wps:cNvCnPr/>
                        <wps:spPr>
                          <a:xfrm>
                            <a:off x="205740" y="685800"/>
                            <a:ext cx="914400" cy="7620"/>
                          </a:xfrm>
                          <a:prstGeom prst="line">
                            <a:avLst/>
                          </a:prstGeom>
                          <a:noFill/>
                          <a:ln w="25400" cap="flat" cmpd="sng" algn="ctr">
                            <a:solidFill>
                              <a:srgbClr val="4F81BD">
                                <a:shade val="95000"/>
                                <a:satMod val="105000"/>
                              </a:srgbClr>
                            </a:solidFill>
                            <a:prstDash val="solid"/>
                          </a:ln>
                          <a:effectLst/>
                        </wps:spPr>
                        <wps:bodyPr/>
                      </wps:wsp>
                      <wps:wsp>
                        <wps:cNvPr id="2058" name="Straight Connector 2058"/>
                        <wps:cNvCnPr/>
                        <wps:spPr>
                          <a:xfrm>
                            <a:off x="556260" y="1120140"/>
                            <a:ext cx="556260" cy="7620"/>
                          </a:xfrm>
                          <a:prstGeom prst="line">
                            <a:avLst/>
                          </a:prstGeom>
                          <a:noFill/>
                          <a:ln w="25400" cap="flat" cmpd="sng" algn="ctr">
                            <a:solidFill>
                              <a:srgbClr val="4F81BD">
                                <a:shade val="95000"/>
                                <a:satMod val="105000"/>
                              </a:srgbClr>
                            </a:solidFill>
                            <a:prstDash val="solid"/>
                          </a:ln>
                          <a:effectLst/>
                        </wps:spPr>
                        <wps:bodyPr/>
                      </wps:wsp>
                      <wps:wsp>
                        <wps:cNvPr id="2059" name="Text Box 2059"/>
                        <wps:cNvSpPr txBox="1"/>
                        <wps:spPr>
                          <a:xfrm>
                            <a:off x="556260" y="0"/>
                            <a:ext cx="701040" cy="236220"/>
                          </a:xfrm>
                          <a:prstGeom prst="rect">
                            <a:avLst/>
                          </a:prstGeom>
                          <a:solidFill>
                            <a:sysClr val="window" lastClr="FFFFFF"/>
                          </a:solidFill>
                          <a:ln w="6350">
                            <a:noFill/>
                          </a:ln>
                          <a:effectLst/>
                        </wps:spPr>
                        <wps:txbx>
                          <w:txbxContent>
                            <w:p w14:paraId="2BA3166C" w14:textId="77777777" w:rsidR="00074ADD" w:rsidRPr="00715968" w:rsidRDefault="00074ADD" w:rsidP="00C53C3D">
                              <w:pPr>
                                <w:rPr>
                                  <w:sz w:val="14"/>
                                </w:rPr>
                              </w:pPr>
                              <w:r w:rsidRPr="00715968">
                                <w:rPr>
                                  <w:sz w:val="14"/>
                                </w:rPr>
                                <w:t>State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 name="Text Box 2061"/>
                        <wps:cNvSpPr txBox="1"/>
                        <wps:spPr>
                          <a:xfrm>
                            <a:off x="556260" y="441960"/>
                            <a:ext cx="701040" cy="236220"/>
                          </a:xfrm>
                          <a:prstGeom prst="rect">
                            <a:avLst/>
                          </a:prstGeom>
                          <a:solidFill>
                            <a:sysClr val="window" lastClr="FFFFFF"/>
                          </a:solidFill>
                          <a:ln w="6350">
                            <a:noFill/>
                          </a:ln>
                          <a:effectLst/>
                        </wps:spPr>
                        <wps:txbx>
                          <w:txbxContent>
                            <w:p w14:paraId="2A9FF338" w14:textId="77777777" w:rsidR="00074ADD" w:rsidRPr="00715968" w:rsidRDefault="00074ADD" w:rsidP="00C53C3D">
                              <w:pPr>
                                <w:rPr>
                                  <w:sz w:val="14"/>
                                </w:rPr>
                              </w:pPr>
                              <w:r w:rsidRPr="00715968">
                                <w:rPr>
                                  <w:sz w:val="14"/>
                                </w:rPr>
                                <w:t>State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069" style="position:absolute;margin-left:111.7pt;margin-top:0;width:118.4pt;height:106.55pt;z-index:251665408;mso-position-horizontal-relative:text;mso-position-vertical-relative:text;mso-width-relative:margin;mso-height-relative:margin" coordsize="1280161,12068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">
                <v:shape id="Text Box 2049" o:spid="_x0000_s1070" type="#_x0000_t202" style="position:absolute;left:190485;top:148033;width:312420;height:2970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asCRxwAA&#10;AN0AAAAPAAAAZHJzL2Rvd25yZXYueG1sRI9Ba8JAFITvBf/D8gRvdaNIqamrSGmpQoM2LXh9ZJ9J&#10;NPs27G5N6q/vCoUeh5n5hlmsetOICzlfW1YwGScgiAuray4VfH2+3j+C8AFZY2OZFPyQh9VycLfA&#10;VNuOP+iSh1JECPsUFVQhtKmUvqjIoB/bljh6R+sMhihdKbXDLsJNI6dJ8iAN1hwXKmzpuaLinH8b&#10;BYcuf3O77fa0bzfZdXfNs3d6yZQaDfv1E4hAffgP/7U3WsE0mc3h9iY+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eWrAkccAAADdAAAADwAAAAAAAAAAAAAAAACXAgAAZHJz&#10;L2Rvd25yZXYueG1sUEsFBgAAAAAEAAQA9QAAAIsDAAAAAA==&#10;" fillcolor="window" stroked="f" strokeweight=".5pt">
                  <v:textbox>
                    <w:txbxContent>
                      <w:p w14:paraId="3F483EB9" w14:textId="728E4478" w:rsidR="00074ADD" w:rsidRPr="001A4FA9" w:rsidRDefault="00074ADD" w:rsidP="00C53C3D">
                        <w:pPr>
                          <w:rPr>
                            <w:vertAlign w:val="subscript"/>
                          </w:rPr>
                        </w:pPr>
                        <w:r>
                          <w:t>p</w:t>
                        </w:r>
                        <w:r>
                          <w:rPr>
                            <w:vertAlign w:val="subscript"/>
                          </w:rPr>
                          <w:t>1</w:t>
                        </w:r>
                      </w:p>
                    </w:txbxContent>
                  </v:textbox>
                </v:shape>
                <v:shape id="Text Box 2062" o:spid="_x0000_s1071" type="#_x0000_t202" style="position:absolute;left:563880;top:879147;width:716281;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ew6AxwAA&#10;AN0AAAAPAAAAZHJzL2Rvd25yZXYueG1sRI9Ba8JAFITvgv9heUJvumkOItFVSmmpgsGaFnp9ZF+T&#10;tNm3YXdror/eLQgeh5n5hlltBtOKEznfWFbwOEtAEJdWN1wp+Px4nS5A+ICssbVMCs7kYbMej1aY&#10;advzkU5FqESEsM9QQR1Cl0npy5oM+pntiKP3bZ3BEKWrpHbYR7hpZZokc2mw4bhQY0fPNZW/xZ9R&#10;8NUXb+6w2/28d9v8crgU+Z5ecqUeJsPTEkSgIdzDt/ZWK0iTeQr/b+ITkO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HsOgMcAAADdAAAADwAAAAAAAAAAAAAAAACXAgAAZHJz&#10;L2Rvd25yZXYueG1sUEsFBgAAAAAEAAQA9QAAAIsDAAAAAA==&#10;" fillcolor="window" stroked="f" strokeweight=".5pt">
                  <v:textbox>
                    <w:txbxContent>
                      <w:p w14:paraId="519B1E11" w14:textId="77777777" w:rsidR="00074ADD" w:rsidRPr="00715968" w:rsidRDefault="00074ADD" w:rsidP="00C53C3D">
                        <w:pPr>
                          <w:rPr>
                            <w:sz w:val="16"/>
                          </w:rPr>
                        </w:pPr>
                        <w:r w:rsidRPr="00715968">
                          <w:rPr>
                            <w:sz w:val="16"/>
                          </w:rPr>
                          <w:t>State 3</w:t>
                        </w:r>
                      </w:p>
                    </w:txbxContent>
                  </v:textbox>
                </v:shape>
                <v:shape id="Text Box 2048" o:spid="_x0000_s1072" type="#_x0000_t202" style="position:absolute;left:320013;top:743044;width:312420;height:3427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JmUKxAAA&#10;AN0AAAAPAAAAZHJzL2Rvd25yZXYueG1sRE9da8IwFH0f+B/CFfamqTJkdEYZ4pjCiloHvl6aa9vZ&#10;3JQks9VfvzwIezyc7/myN424kvO1ZQWTcQKCuLC65lLB9/Fj9ArCB2SNjWVScCMPy8XgaY6pth0f&#10;6JqHUsQQ9ikqqEJoUyl9UZFBP7YtceTO1hkMEbpSaoddDDeNnCbJTBqsOTZU2NKqouKS/xoFpy7/&#10;dLvt9mffbrL77p5nX7TOlHoe9u9vIAL14V/8cG+0gmnyEufGN/EJ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iZlCsQAAADdAAAADwAAAAAAAAAAAAAAAACXAgAAZHJzL2Rv&#10;d25yZXYueG1sUEsFBgAAAAAEAAQA9QAAAIgDAAAAAA==&#10;" fillcolor="window" stroked="f" strokeweight=".5pt">
                  <v:textbox>
                    <w:txbxContent>
                      <w:p w14:paraId="46DD4A5E" w14:textId="5ABF5C2E" w:rsidR="00074ADD" w:rsidRPr="001A4FA9" w:rsidRDefault="00074ADD" w:rsidP="00C53C3D">
                        <w:pPr>
                          <w:rPr>
                            <w:vertAlign w:val="subscript"/>
                          </w:rPr>
                        </w:pPr>
                        <w:r>
                          <w:t>p</w:t>
                        </w:r>
                        <w:r>
                          <w:rPr>
                            <w:vertAlign w:val="subscript"/>
                          </w:rPr>
                          <w:t>3</w:t>
                        </w:r>
                      </w:p>
                    </w:txbxContent>
                  </v:textbox>
                </v:shape>
                <v:shape id="Text Box 2050" o:spid="_x0000_s1073" type="#_x0000_t202" style="position:absolute;left:266678;top:398923;width:312420;height:3047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f/RxAAA&#10;AN0AAAAPAAAAZHJzL2Rvd25yZXYueG1sRE9da8IwFH0f+B/CFfamqcJkdEYZ4pjCiloHvl6aa9vZ&#10;3JQks9VfvzwIezyc7/myN424kvO1ZQWTcQKCuLC65lLB9/Fj9ArCB2SNjWVScCMPy8XgaY6pth0f&#10;6JqHUsQQ9ikqqEJoUyl9UZFBP7YtceTO1hkMEbpSaoddDDeNnCbJTBqsOTZU2NKqouKS/xoFpy7/&#10;dLvt9mffbrL77p5nX7TOlHoe9u9vIAL14V/8cG+0gmnyEvfHN/EJ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Yn/0cQAAADdAAAADwAAAAAAAAAAAAAAAACXAgAAZHJzL2Rv&#10;d25yZXYueG1sUEsFBgAAAAAEAAQA9QAAAIgDAAAAAA==&#10;" fillcolor="window" stroked="f" strokeweight=".5pt">
                  <v:textbox>
                    <w:txbxContent>
                      <w:p w14:paraId="327AC9F9" w14:textId="450331F1" w:rsidR="00074ADD" w:rsidRPr="001A4FA9" w:rsidRDefault="00074ADD" w:rsidP="00C53C3D">
                        <w:pPr>
                          <w:rPr>
                            <w:vertAlign w:val="subscript"/>
                          </w:rPr>
                        </w:pPr>
                        <w:r>
                          <w:t>p</w:t>
                        </w:r>
                        <w:r>
                          <w:rPr>
                            <w:vertAlign w:val="subscript"/>
                          </w:rPr>
                          <w:t>2</w:t>
                        </w:r>
                      </w:p>
                    </w:txbxContent>
                  </v:textbox>
                </v:shape>
                <v:oval id="Oval 2053" o:spid="_x0000_s1074" style="position:absolute;top:601980;width:205740;height:167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uuNqxgAA&#10;AN0AAAAPAAAAZHJzL2Rvd25yZXYueG1sRI9Pa8JAFMTvBb/D8oTedNeI0kZXCYKl9lL/FHp9Zp9J&#10;MPs2ZLcxfvtuQehxmJnfMMt1b2vRUesrxxomYwWCOHem4kLD12k7egHhA7LB2jFpuJOH9WrwtMTU&#10;uBsfqDuGQkQI+xQ1lCE0qZQ+L8miH7uGOHoX11oMUbaFNC3eItzWMlFqLi1WHBdKbGhTUn49/lgN&#10;+x29flaZvNynp2+k89tH16m51s/DPluACNSH//Cj/W40JGo2hb838QnI1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8uuNqxgAAAN0AAAAPAAAAAAAAAAAAAAAAAJcCAABkcnMv&#10;ZG93bnJldi54bWxQSwUGAAAAAAQABAD1AAAAigMAAAAA&#10;" fillcolor="#4f81bd" strokecolor="#385d8a" strokeweight="2pt"/>
                <v:line id="Straight Connector 2054" o:spid="_x0000_s1075" style="position:absolute;flip:y;visibility:visible;mso-wrap-style:square" from="160020,259080" to="548640,6019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d6vAscAAADdAAAADwAAAGRycy9kb3ducmV2LnhtbESPT2vCQBTE74LfYXmCt2ZjMKVNs0pa&#10;EFp60v6B3h7ZZxLNvg3ZVaOfvisIHoeZ+Q2TLwfTiiP1rrGsYBbFIIhLqxuuFHx/rR6eQDiPrLG1&#10;TArO5GC5GI9yzLQ98ZqOG1+JAGGXoYLa+y6T0pU1GXSR7YiDt7W9QR9kX0nd4ynATSuTOH6UBhsO&#10;CzV29FZTud8cjIIdObP6OBR/6e719/OnSj1eZs9KTSdD8QLC0+Dv4Vv7XStI4nQO1zfhCcjF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Z3q8CxwAAAN0AAAAPAAAAAAAA&#10;AAAAAAAAAKECAABkcnMvZG93bnJldi54bWxQSwUGAAAAAAQABAD5AAAAlQMAAAAA&#10;" strokecolor="#4a7ebb" strokeweight="2pt"/>
                <v:line id="Straight Connector 2055" o:spid="_x0000_s1076" style="position:absolute;flip:y;visibility:visible;mso-wrap-style:square" from="175260,777240" to="563880,11201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pIKmcQAAADdAAAADwAAAGRycy9kb3ducmV2LnhtbESPT4vCMBTE74LfITzB25oqVLQaRReE&#10;lT35F7w9mmdbbV5KE7XrpzfCgsdhZn7DTOeNKcWdaldYVtDvRSCIU6sLzhTsd6uvEQjnkTWWlknB&#10;HzmYz9qtKSbaPnhD963PRICwS1BB7n2VSOnSnAy6nq2Ig3e2tUEfZJ1JXeMjwE0pB1E0lAYLDgs5&#10;VvSdU3rd3oyCCzmzWt8Wp/iyPP4estjjsz9WqttpFhMQnhr/Cf+3f7SCQRTH8H4TnoCcv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2kgqZxAAAAN0AAAAPAAAAAAAAAAAA&#10;AAAAAKECAABkcnMvZG93bnJldi54bWxQSwUGAAAAAAQABAD5AAAAkgMAAAAA&#10;" strokecolor="#4a7ebb" strokeweight="2pt"/>
                <v:line id="Straight Connector 2056" o:spid="_x0000_s1077" style="position:absolute;visibility:visible;mso-wrap-style:square" from="548640,259080" to="1104900,266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00V2sQAAADdAAAADwAAAGRycy9kb3ducmV2LnhtbESPQWvCQBSE7wX/w/KE3upGQbHRVUQQ&#10;LGKhqeL1kX0m0ezbsLtq8u/dQsHjMDPfMPNla2pxJ+crywqGgwQEcW51xYWCw+/mYwrCB2SNtWVS&#10;0JGH5aL3NsdU2wf/0D0LhYgQ9ikqKENoUil9XpJBP7ANcfTO1hkMUbpCaoePCDe1HCXJRBqsOC6U&#10;2NC6pPya3YyCU+emzZH2w6/i8rl3uy4bf2On1Hu/Xc1ABGrDK/zf3moFo2Q8gb838QnIx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DTRXaxAAAAN0AAAAPAAAAAAAAAAAA&#10;AAAAAKECAABkcnMvZG93bnJldi54bWxQSwUGAAAAAAQABAD5AAAAkgMAAAAA&#10;" strokecolor="#4a7ebb" strokeweight="2pt"/>
                <v:line id="Straight Connector 2057" o:spid="_x0000_s1078" style="position:absolute;visibility:visible;mso-wrap-style:square" from="205740,685800" to="1120140,6934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AGwQcYAAADdAAAADwAAAGRycy9kb3ducmV2LnhtbESPQWvCQBSE7wX/w/KE3uomgq1GN1IK&#10;hZZiwah4fWSfSTT7NuxuNfn33ULB4zAz3zCrdW9acSXnG8sK0kkCgri0uuFKwX73/jQH4QOyxtYy&#10;KRjIwzofPaww0/bGW7oWoRIRwj5DBXUIXSalL2sy6Ce2I47eyTqDIUpXSe3wFuGmldMkeZYGG44L&#10;NXb0VlN5KX6MguPg5t2BNulndV5s3NdQzL5xUOpx3L8uQQTqwz383/7QCqbJ7AX+3sQnIP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BsEHGAAAA3QAAAA8AAAAAAAAA&#10;AAAAAAAAoQIAAGRycy9kb3ducmV2LnhtbFBLBQYAAAAABAAEAPkAAACUAwAAAAA=&#10;" strokecolor="#4a7ebb" strokeweight="2pt"/>
                <v:line id="Straight Connector 2058" o:spid="_x0000_s1079" style="position:absolute;visibility:visible;mso-wrap-style:square" from="556260,1120140" to="1112520,1127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4kM8MAAADdAAAADwAAAGRycy9kb3ducmV2LnhtbERPXWvCMBR9H/gfwhX2tqYKDlcbRYTB&#10;xuhgdeLrpbm21eamJJlt//3yMNjj4Xznu9F04k7Ot5YVLJIUBHFldcu1gu/j69MahA/IGjvLpGAi&#10;D7vt7CHHTNuBv+hehlrEEPYZKmhC6DMpfdWQQZ/YnjhyF+sMhghdLbXDIYabTi7T9FkabDk2NNjT&#10;oaHqVv4YBefJrfsTFYv3+vpSuI+pXH3ipNTjfNxvQAQaw7/4z/2mFSzTVZwb38QnIL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2eJDPDAAAA3QAAAA8AAAAAAAAAAAAA&#10;AAAAoQIAAGRycy9kb3ducmV2LnhtbFBLBQYAAAAABAAEAPkAAACRAwAAAAA=&#10;" strokecolor="#4a7ebb" strokeweight="2pt"/>
                <v:shape id="Text Box 2059" o:spid="_x0000_s1080" type="#_x0000_t202" style="position:absolute;left:556260;width:701040;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s1ZMxwAA&#10;AN0AAAAPAAAAZHJzL2Rvd25yZXYueG1sRI9Ba8JAFITvBf/D8gRvdaNgqamrSGmpQoM2LXh9ZJ9J&#10;NPs27G5N6q/vCoUeh5n5hlmsetOICzlfW1YwGScgiAuray4VfH2+3j+C8AFZY2OZFPyQh9VycLfA&#10;VNuOP+iSh1JECPsUFVQhtKmUvqjIoB/bljh6R+sMhihdKbXDLsJNI6dJ8iAN1hwXKmzpuaLinH8b&#10;BYcuf3O77fa0bzfZdXfNs3d6yZQaDfv1E4hAffgP/7U3WsE0mc3h9iY+Abn8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NWTMcAAADdAAAADwAAAAAAAAAAAAAAAACXAgAAZHJz&#10;L2Rvd25yZXYueG1sUEsFBgAAAAAEAAQA9QAAAIsDAAAAAA==&#10;" fillcolor="window" stroked="f" strokeweight=".5pt">
                  <v:textbox>
                    <w:txbxContent>
                      <w:p w14:paraId="2BA3166C" w14:textId="77777777" w:rsidR="00074ADD" w:rsidRPr="00715968" w:rsidRDefault="00074ADD" w:rsidP="00C53C3D">
                        <w:pPr>
                          <w:rPr>
                            <w:sz w:val="14"/>
                          </w:rPr>
                        </w:pPr>
                        <w:r w:rsidRPr="00715968">
                          <w:rPr>
                            <w:sz w:val="14"/>
                          </w:rPr>
                          <w:t>State 1</w:t>
                        </w:r>
                      </w:p>
                    </w:txbxContent>
                  </v:textbox>
                </v:shape>
                <v:shape id="Text Box 2061" o:spid="_x0000_s1081" type="#_x0000_t202" style="position:absolute;left:556260;top:441960;width:701040;height:23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ZD3xwAA&#10;AN0AAAAPAAAAZHJzL2Rvd25yZXYueG1sRI9Ba8JAFITvBf/D8oTezEYPItFVSmmpgsEaC70+sq9J&#10;2uzbsLs10V/vFoQeh5n5hlltBtOKMznfWFYwTVIQxKXVDVcKPk6vkwUIH5A1tpZJwYU8bNajhxVm&#10;2vZ8pHMRKhEh7DNUUIfQZVL6siaDPrEdcfS+rDMYonSV1A77CDetnKXpXBpsOC7U2NFzTeVP8WsU&#10;fPbFmzvsdt/v3Ta/Hq5FvqeXXKnH8fC0BBFoCP/he3urFczS+RT+3sQnINc3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KmQ98cAAADdAAAADwAAAAAAAAAAAAAAAACXAgAAZHJz&#10;L2Rvd25yZXYueG1sUEsFBgAAAAAEAAQA9QAAAIsDAAAAAA==&#10;" fillcolor="window" stroked="f" strokeweight=".5pt">
                  <v:textbox>
                    <w:txbxContent>
                      <w:p w14:paraId="2A9FF338" w14:textId="77777777" w:rsidR="00074ADD" w:rsidRPr="00715968" w:rsidRDefault="00074ADD" w:rsidP="00C53C3D">
                        <w:pPr>
                          <w:rPr>
                            <w:sz w:val="14"/>
                          </w:rPr>
                        </w:pPr>
                        <w:r w:rsidRPr="00715968">
                          <w:rPr>
                            <w:sz w:val="14"/>
                          </w:rPr>
                          <w:t>State 2</w:t>
                        </w:r>
                      </w:p>
                    </w:txbxContent>
                  </v:textbox>
                </v:shape>
              </v:group>
            </w:pict>
          </mc:Fallback>
        </mc:AlternateContent>
      </w:r>
    </w:p>
    <w:p w14:paraId="7F7E313C" w14:textId="77777777" w:rsidR="00C53C3D" w:rsidRDefault="00C53C3D" w:rsidP="00C53C3D"/>
    <w:p w14:paraId="2733C981" w14:textId="77777777" w:rsidR="00C53C3D" w:rsidRDefault="00C53C3D" w:rsidP="00C53C3D"/>
    <w:p w14:paraId="08C61356" w14:textId="77777777" w:rsidR="00C53C3D" w:rsidRDefault="00C53C3D" w:rsidP="00C53C3D"/>
    <w:p w14:paraId="31E089EF" w14:textId="77777777" w:rsidR="00C53C3D" w:rsidRDefault="00C53C3D" w:rsidP="00C53C3D"/>
    <w:p w14:paraId="0E185870" w14:textId="77777777" w:rsidR="00C53C3D" w:rsidRDefault="00C53C3D" w:rsidP="00C53C3D"/>
    <w:p w14:paraId="57058685" w14:textId="7B1031CE" w:rsidR="00C53C3D" w:rsidRDefault="00C53C3D" w:rsidP="00C53C3D">
      <w:pPr>
        <w:keepNext/>
        <w:keepLines/>
        <w:widowControl/>
      </w:pPr>
      <w:r>
        <w:t>Our uncertainty could then be expressed in terms of the discrete probability distribution, {p</w:t>
      </w:r>
      <w:r w:rsidRPr="00715968">
        <w:rPr>
          <w:vertAlign w:val="subscript"/>
        </w:rPr>
        <w:t>1</w:t>
      </w:r>
      <w:r>
        <w:t>, p</w:t>
      </w:r>
      <w:r w:rsidRPr="00715968">
        <w:rPr>
          <w:vertAlign w:val="subscript"/>
        </w:rPr>
        <w:t>2</w:t>
      </w:r>
      <w:r>
        <w:t>, p</w:t>
      </w:r>
      <w:r w:rsidRPr="00715968">
        <w:rPr>
          <w:vertAlign w:val="subscript"/>
        </w:rPr>
        <w:t>3</w:t>
      </w:r>
      <w:r>
        <w:t>}</w:t>
      </w:r>
      <w:r w:rsidR="00B026BA">
        <w:t>, where p</w:t>
      </w:r>
      <w:r w:rsidR="00B026BA">
        <w:rPr>
          <w:vertAlign w:val="subscript"/>
        </w:rPr>
        <w:t>i</w:t>
      </w:r>
      <w:r w:rsidR="00B026BA">
        <w:t xml:space="preserve"> is the probability of state “</w:t>
      </w:r>
      <w:proofErr w:type="spellStart"/>
      <w:r w:rsidR="00B026BA">
        <w:t>i</w:t>
      </w:r>
      <w:proofErr w:type="spellEnd"/>
      <w:r w:rsidR="00B026BA">
        <w:t>”</w:t>
      </w:r>
      <w:r>
        <w:t xml:space="preserve">.  An equivalent representation would be a probability table, with an assumed discrete probability distribution of {0.2, 0.5, </w:t>
      </w:r>
      <w:proofErr w:type="gramStart"/>
      <w:r>
        <w:t>0.3</w:t>
      </w:r>
      <w:proofErr w:type="gramEnd"/>
      <w:r>
        <w:t>} in this example:</w:t>
      </w:r>
    </w:p>
    <w:p w14:paraId="0A068140" w14:textId="77777777" w:rsidR="00C53C3D" w:rsidRDefault="00C53C3D" w:rsidP="00C53C3D">
      <w:pPr>
        <w:keepNext/>
        <w:keepLines/>
        <w:widowControl/>
      </w:pPr>
    </w:p>
    <w:p w14:paraId="36991B10" w14:textId="77777777" w:rsidR="00C53C3D" w:rsidRDefault="00C53C3D" w:rsidP="00C53C3D">
      <w:pPr>
        <w:keepNext/>
        <w:keepLines/>
        <w:widowControl/>
      </w:pPr>
    </w:p>
    <w:p w14:paraId="2AB0121A" w14:textId="77777777" w:rsidR="00C53C3D" w:rsidRDefault="00C53C3D" w:rsidP="00C53C3D">
      <w:pPr>
        <w:keepNext/>
        <w:keepLines/>
        <w:widowControl/>
      </w:pPr>
      <w:r w:rsidRPr="006038A2">
        <w:rPr>
          <w:noProof/>
        </w:rPr>
        <w:drawing>
          <wp:anchor distT="0" distB="0" distL="114300" distR="114300" simplePos="0" relativeHeight="251666432" behindDoc="0" locked="0" layoutInCell="1" allowOverlap="1" wp14:anchorId="17BB13F8" wp14:editId="7EF9CC0F">
            <wp:simplePos x="0" y="0"/>
            <wp:positionH relativeFrom="column">
              <wp:posOffset>964565</wp:posOffset>
            </wp:positionH>
            <wp:positionV relativeFrom="paragraph">
              <wp:posOffset>-153035</wp:posOffset>
            </wp:positionV>
            <wp:extent cx="1764665" cy="740410"/>
            <wp:effectExtent l="0" t="0" r="6985" b="2540"/>
            <wp:wrapSquare wrapText="bothSides"/>
            <wp:docPr id="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4665" cy="7404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3FB32864" w14:textId="77777777" w:rsidR="00C53C3D" w:rsidRDefault="00C53C3D" w:rsidP="00C53C3D">
      <w:pPr>
        <w:keepNext/>
        <w:keepLines/>
        <w:widowControl/>
      </w:pPr>
    </w:p>
    <w:p w14:paraId="57215FF7" w14:textId="77777777" w:rsidR="00C53C3D" w:rsidRDefault="00C53C3D" w:rsidP="00C53C3D"/>
    <w:p w14:paraId="366B6631" w14:textId="77777777" w:rsidR="00C53C3D" w:rsidRDefault="00C53C3D" w:rsidP="00C53C3D">
      <w:r>
        <w:t xml:space="preserve">We propose the use of Bayesian networks as a mathematical tool for representing, manipulating, and computing conditional probabilities, enabling the user to reason with uncertain information.  There are a number of introductory references that provide detailed background on the theory and use of Bayesian networks, to which we refer the interested reader (Pearl, 1988; </w:t>
      </w:r>
      <w:proofErr w:type="spellStart"/>
      <w:r>
        <w:t>Charniak</w:t>
      </w:r>
      <w:proofErr w:type="spellEnd"/>
      <w:r>
        <w:t>, 1991; Jensen, 1996; Jensen and Nielsen, 2007).  In this section, we briefly define them and motivate the proposed usage.</w:t>
      </w:r>
    </w:p>
    <w:p w14:paraId="513C2903" w14:textId="4246E64B" w:rsidR="00C53C3D" w:rsidRDefault="00C53C3D" w:rsidP="00C53C3D">
      <w:pPr>
        <w:widowControl/>
        <w:autoSpaceDE/>
        <w:autoSpaceDN/>
        <w:adjustRightInd/>
        <w:spacing w:before="0" w:after="200"/>
      </w:pPr>
      <w:r>
        <w:t xml:space="preserve">Bayesian networks (or, more generally, probabilistic graphical models) are </w:t>
      </w:r>
      <w:r w:rsidR="008B65DA">
        <w:t>a hybrid</w:t>
      </w:r>
      <w:r>
        <w:t xml:space="preserve"> framework which combines uncertainty (probabilities) and logical structure (independence constraints) to compactly represent complex, real-world phenomena. The framework is general in that many of the commonly used statistical models (e.g., </w:t>
      </w:r>
      <w:proofErr w:type="spellStart"/>
      <w:r>
        <w:t>Kalman</w:t>
      </w:r>
      <w:proofErr w:type="spellEnd"/>
      <w:r>
        <w:t xml:space="preserve"> filters, hidden Markov models, regression models) can be represented and computed using graphical models. Probabilistic graphical models have enjoyed a surge of interest in a wide variety of fields in the last </w:t>
      </w:r>
      <w:r w:rsidR="008B65DA">
        <w:t>three</w:t>
      </w:r>
      <w:r>
        <w:t xml:space="preserve"> decades, due to the flexibility and power of the representation and advances in the ability to effectively learn model parameters from data and perform inference in ever larger networks</w:t>
      </w:r>
      <w:r w:rsidR="00FA152D">
        <w:t>, as supported by advances in computing power</w:t>
      </w:r>
      <w:r>
        <w:t>.</w:t>
      </w:r>
    </w:p>
    <w:p w14:paraId="2F140C3B" w14:textId="4B395C10" w:rsidR="00AE2109" w:rsidRDefault="00C53C3D" w:rsidP="00C53C3D">
      <w:r>
        <w:lastRenderedPageBreak/>
        <w:t xml:space="preserve">Briefly, Bayesian networks were developed as a general representation scheme for reasoning with uncertain knowledge (Pearl, 1988) and for estimating and modeling uncertain knowledge about future events or complex events </w:t>
      </w:r>
      <w:r w:rsidR="00FA152D">
        <w:t xml:space="preserve">that </w:t>
      </w:r>
      <w:r>
        <w:t xml:space="preserve">are not observable at </w:t>
      </w:r>
      <w:r w:rsidR="00FA152D">
        <w:t xml:space="preserve">an </w:t>
      </w:r>
      <w:r>
        <w:t xml:space="preserve">acceptable cost (Jensen and Nielsen, 2007).  They organize probabilistic relationships between variables of interest as a graph (or “network”) that represents the conditional dependence between variables.  The network is comprised of nodes and arrows (arcs), where the nodes represent the variables of interest and the arcs represent conditional dependence between the connected variables.  Although there are several types of variables possible within Bayesian networks, for our purposes, we will focus on “chance variables” (or uncertain variables), represented by ovals in the graphical network (Figure </w:t>
      </w:r>
      <w:r w:rsidR="008A4183">
        <w:t>8</w:t>
      </w:r>
      <w:r>
        <w:t xml:space="preserve">).  In Figure </w:t>
      </w:r>
      <w:r w:rsidR="008A4183">
        <w:t>8</w:t>
      </w:r>
      <w:r>
        <w:t xml:space="preserve">, we show three vulnerability criteria represented as three chance variables (uncertain, unobserved variables), each contributing to a combined over-all vulnerability score.  Note that even if we represent the vulnerability score as a deterministic function of the vulnerability criteria (Figure </w:t>
      </w:r>
      <w:r w:rsidR="008A4183">
        <w:t>8</w:t>
      </w:r>
      <w:r>
        <w:t>), the score is itself uncertain if its inputs are unobserved chance variables (thus retaining their uncertainty).</w:t>
      </w:r>
      <w:r w:rsidR="00FA152D">
        <w:t xml:space="preserve">  Note that in Bayesian networks, a function can be represented as input variables “po</w:t>
      </w:r>
      <w:r w:rsidR="006C065A">
        <w:t xml:space="preserve">inting to” output variables.  Using </w:t>
      </w:r>
      <w:r w:rsidR="00FA152D">
        <w:t xml:space="preserve">Figure </w:t>
      </w:r>
      <w:r w:rsidR="008A4183">
        <w:t>8</w:t>
      </w:r>
      <w:r w:rsidR="006C065A">
        <w:t xml:space="preserve"> as an example</w:t>
      </w:r>
      <w:r w:rsidR="00FA152D">
        <w:t xml:space="preserve">, if the vulnerability score </w:t>
      </w:r>
      <w:r w:rsidR="006C065A">
        <w:t>were</w:t>
      </w:r>
      <w:r w:rsidR="00FA152D">
        <w:t xml:space="preserve"> treated as a deterministic variable, the graph shown would be equivalent to the equation</w:t>
      </w:r>
      <w:r w:rsidR="006C065A">
        <w:t xml:space="preserve"> (assuming a linear-additive function)</w:t>
      </w:r>
      <w:r w:rsidR="00FA152D">
        <w:t xml:space="preserve">:  </w:t>
      </w:r>
    </w:p>
    <w:p w14:paraId="0BFE2F4F" w14:textId="3B196DF2" w:rsidR="00C53C3D" w:rsidRPr="0000320F" w:rsidRDefault="00AE2109" w:rsidP="00C53C3D">
      <w:pPr>
        <w:rPr>
          <w:iCs/>
        </w:rPr>
      </w:pPr>
      <m:oMathPara>
        <m:oMath>
          <m:r>
            <w:rPr>
              <w:rFonts w:ascii="Cambria Math" w:hAnsi="Cambria Math"/>
            </w:rPr>
            <m:t>Vulnerability Score</m:t>
          </m:r>
          <m:d>
            <m:dPr>
              <m:ctrlPr>
                <w:rPr>
                  <w:rFonts w:ascii="Cambria Math" w:hAnsi="Cambria Math"/>
                  <w:i/>
                  <w:iCs/>
                </w:rPr>
              </m:ctrlPr>
            </m:dPr>
            <m:e>
              <m:r>
                <w:rPr>
                  <w:rFonts w:ascii="Cambria Math" w:hAnsi="Cambria Math"/>
                </w:rPr>
                <m:t>Criterion 1, Criterion 2, Criterion 3</m:t>
              </m:r>
            </m:e>
          </m:d>
          <m:r>
            <w:rPr>
              <w:rFonts w:ascii="Cambria Math" w:hAnsi="Cambria Math"/>
            </w:rPr>
            <m:t>=</m:t>
          </m:r>
          <m:nary>
            <m:naryPr>
              <m:chr m:val="∑"/>
              <m:limLoc m:val="undOvr"/>
              <m:ctrlPr>
                <w:rPr>
                  <w:rFonts w:ascii="Cambria Math" w:hAnsi="Cambria Math"/>
                  <w:i/>
                  <w:iCs/>
                </w:rPr>
              </m:ctrlPr>
            </m:naryPr>
            <m:sub>
              <m:r>
                <w:rPr>
                  <w:rFonts w:ascii="Cambria Math" w:hAnsi="Cambria Math"/>
                </w:rPr>
                <m:t>i=1</m:t>
              </m:r>
            </m:sub>
            <m:sup>
              <m:r>
                <w:rPr>
                  <w:rFonts w:ascii="Cambria Math" w:hAnsi="Cambria Math"/>
                </w:rPr>
                <m:t>l</m:t>
              </m:r>
            </m:sup>
            <m:e>
              <m:sSub>
                <m:sSubPr>
                  <m:ctrlPr>
                    <w:rPr>
                      <w:rFonts w:ascii="Cambria Math" w:hAnsi="Cambria Math"/>
                      <w:i/>
                      <w:iCs/>
                    </w:rPr>
                  </m:ctrlPr>
                </m:sSubPr>
                <m:e>
                  <m:r>
                    <w:rPr>
                      <w:rFonts w:ascii="Cambria Math" w:hAnsi="Cambria Math"/>
                    </w:rPr>
                    <m:t>p</m:t>
                  </m:r>
                </m:e>
                <m:sub>
                  <m:r>
                    <w:rPr>
                      <w:rFonts w:ascii="Cambria Math" w:hAnsi="Cambria Math"/>
                    </w:rPr>
                    <m:t>i</m:t>
                  </m:r>
                </m:sub>
              </m:sSub>
              <m:sSub>
                <m:sSubPr>
                  <m:ctrlPr>
                    <w:rPr>
                      <w:rFonts w:ascii="Cambria Math" w:hAnsi="Cambria Math"/>
                      <w:i/>
                      <w:iCs/>
                    </w:rPr>
                  </m:ctrlPr>
                </m:sSubPr>
                <m:e>
                  <m:r>
                    <w:rPr>
                      <w:rFonts w:ascii="Cambria Math" w:hAnsi="Cambria Math"/>
                    </w:rPr>
                    <m:t>s</m:t>
                  </m:r>
                </m:e>
                <m:sub>
                  <m:r>
                    <w:rPr>
                      <w:rFonts w:ascii="Cambria Math" w:hAnsi="Cambria Math"/>
                    </w:rPr>
                    <m:t>i</m:t>
                  </m:r>
                </m:sub>
              </m:sSub>
              <m:r>
                <w:rPr>
                  <w:rFonts w:ascii="Cambria Math" w:hAnsi="Cambria Math"/>
                </w:rPr>
                <m:t>+</m:t>
              </m:r>
              <m:nary>
                <m:naryPr>
                  <m:chr m:val="∑"/>
                  <m:limLoc m:val="undOvr"/>
                  <m:ctrlPr>
                    <w:rPr>
                      <w:rFonts w:ascii="Cambria Math" w:hAnsi="Cambria Math"/>
                      <w:i/>
                      <w:iCs/>
                    </w:rPr>
                  </m:ctrlPr>
                </m:naryPr>
                <m:sub>
                  <m:r>
                    <w:rPr>
                      <w:rFonts w:ascii="Cambria Math" w:hAnsi="Cambria Math"/>
                    </w:rPr>
                    <m:t>j=1</m:t>
                  </m:r>
                </m:sub>
                <m:sup>
                  <m:r>
                    <w:rPr>
                      <w:rFonts w:ascii="Cambria Math" w:hAnsi="Cambria Math"/>
                    </w:rPr>
                    <m:t>m</m:t>
                  </m:r>
                </m:sup>
                <m:e>
                  <m:sSub>
                    <m:sSubPr>
                      <m:ctrlPr>
                        <w:rPr>
                          <w:rFonts w:ascii="Cambria Math" w:hAnsi="Cambria Math"/>
                          <w:i/>
                          <w:iCs/>
                        </w:rPr>
                      </m:ctrlPr>
                    </m:sSubPr>
                    <m:e>
                      <m:r>
                        <w:rPr>
                          <w:rFonts w:ascii="Cambria Math" w:hAnsi="Cambria Math"/>
                        </w:rPr>
                        <m:t>p</m:t>
                      </m:r>
                    </m:e>
                    <m:sub>
                      <m:r>
                        <w:rPr>
                          <w:rFonts w:ascii="Cambria Math" w:hAnsi="Cambria Math"/>
                        </w:rPr>
                        <m:t>j</m:t>
                      </m:r>
                    </m:sub>
                  </m:sSub>
                  <m:sSub>
                    <m:sSubPr>
                      <m:ctrlPr>
                        <w:rPr>
                          <w:rFonts w:ascii="Cambria Math" w:hAnsi="Cambria Math"/>
                          <w:i/>
                          <w:iCs/>
                        </w:rPr>
                      </m:ctrlPr>
                    </m:sSubPr>
                    <m:e>
                      <m:r>
                        <w:rPr>
                          <w:rFonts w:ascii="Cambria Math" w:hAnsi="Cambria Math"/>
                        </w:rPr>
                        <m:t>s</m:t>
                      </m:r>
                    </m:e>
                    <m:sub>
                      <m:r>
                        <w:rPr>
                          <w:rFonts w:ascii="Cambria Math" w:hAnsi="Cambria Math"/>
                        </w:rPr>
                        <m:t>j</m:t>
                      </m:r>
                    </m:sub>
                  </m:sSub>
                </m:e>
              </m:nary>
              <m:r>
                <w:rPr>
                  <w:rFonts w:ascii="Cambria Math" w:hAnsi="Cambria Math"/>
                </w:rPr>
                <m:t>+</m:t>
              </m:r>
              <m:nary>
                <m:naryPr>
                  <m:chr m:val="∑"/>
                  <m:limLoc m:val="undOvr"/>
                  <m:ctrlPr>
                    <w:rPr>
                      <w:rFonts w:ascii="Cambria Math" w:hAnsi="Cambria Math"/>
                      <w:i/>
                      <w:iCs/>
                    </w:rPr>
                  </m:ctrlPr>
                </m:naryPr>
                <m:sub>
                  <m:r>
                    <w:rPr>
                      <w:rFonts w:ascii="Cambria Math" w:hAnsi="Cambria Math"/>
                    </w:rPr>
                    <m:t>k=1</m:t>
                  </m:r>
                </m:sub>
                <m:sup>
                  <m:r>
                    <w:rPr>
                      <w:rFonts w:ascii="Cambria Math" w:hAnsi="Cambria Math"/>
                    </w:rPr>
                    <m:t>n</m:t>
                  </m:r>
                </m:sup>
                <m:e>
                  <m:sSub>
                    <m:sSubPr>
                      <m:ctrlPr>
                        <w:rPr>
                          <w:rFonts w:ascii="Cambria Math" w:hAnsi="Cambria Math"/>
                          <w:i/>
                          <w:iCs/>
                        </w:rPr>
                      </m:ctrlPr>
                    </m:sSubPr>
                    <m:e>
                      <m:r>
                        <w:rPr>
                          <w:rFonts w:ascii="Cambria Math" w:hAnsi="Cambria Math"/>
                        </w:rPr>
                        <m:t>p</m:t>
                      </m:r>
                    </m:e>
                    <m:sub>
                      <m:r>
                        <w:rPr>
                          <w:rFonts w:ascii="Cambria Math" w:hAnsi="Cambria Math"/>
                        </w:rPr>
                        <m:t>k</m:t>
                      </m:r>
                    </m:sub>
                  </m:sSub>
                  <m:sSub>
                    <m:sSubPr>
                      <m:ctrlPr>
                        <w:rPr>
                          <w:rFonts w:ascii="Cambria Math" w:hAnsi="Cambria Math"/>
                          <w:i/>
                          <w:iCs/>
                        </w:rPr>
                      </m:ctrlPr>
                    </m:sSubPr>
                    <m:e>
                      <m:r>
                        <w:rPr>
                          <w:rFonts w:ascii="Cambria Math" w:hAnsi="Cambria Math"/>
                        </w:rPr>
                        <m:t>s</m:t>
                      </m:r>
                    </m:e>
                    <m:sub>
                      <m:r>
                        <w:rPr>
                          <w:rFonts w:ascii="Cambria Math" w:hAnsi="Cambria Math"/>
                        </w:rPr>
                        <m:t>k</m:t>
                      </m:r>
                    </m:sub>
                  </m:sSub>
                </m:e>
              </m:nary>
            </m:e>
          </m:nary>
          <m:r>
            <w:rPr>
              <w:rFonts w:ascii="Cambria Math" w:hAnsi="Cambria Math"/>
            </w:rPr>
            <m:t>,</m:t>
          </m:r>
        </m:oMath>
      </m:oMathPara>
    </w:p>
    <w:p w14:paraId="60B25086" w14:textId="77777777" w:rsidR="00657B1E" w:rsidRDefault="00657B1E" w:rsidP="00C53C3D">
      <w:pPr>
        <w:rPr>
          <w:iCs/>
        </w:rPr>
      </w:pPr>
      <w:proofErr w:type="gramStart"/>
      <w:r>
        <w:rPr>
          <w:iCs/>
        </w:rPr>
        <w:t>w</w:t>
      </w:r>
      <w:r w:rsidR="0000320F">
        <w:rPr>
          <w:iCs/>
        </w:rPr>
        <w:t>here</w:t>
      </w:r>
      <w:proofErr w:type="gramEnd"/>
      <w:r>
        <w:rPr>
          <w:iCs/>
        </w:rPr>
        <w:t>:</w:t>
      </w:r>
    </w:p>
    <w:p w14:paraId="2BC4E74A" w14:textId="13FED83E" w:rsidR="00657B1E" w:rsidRPr="00657B1E" w:rsidRDefault="00657B1E" w:rsidP="00657B1E">
      <w:pPr>
        <w:pStyle w:val="ListParagraph"/>
        <w:numPr>
          <w:ilvl w:val="0"/>
          <w:numId w:val="17"/>
        </w:numPr>
      </w:pPr>
      <w:r w:rsidRPr="00657B1E">
        <w:rPr>
          <w:iCs/>
        </w:rPr>
        <w:t>p</w:t>
      </w:r>
      <w:r w:rsidRPr="00657B1E">
        <w:rPr>
          <w:iCs/>
          <w:vertAlign w:val="subscript"/>
        </w:rPr>
        <w:t>i</w:t>
      </w:r>
      <w:r w:rsidRPr="00657B1E">
        <w:rPr>
          <w:iCs/>
        </w:rPr>
        <w:t xml:space="preserve"> is the probability of state “</w:t>
      </w:r>
      <w:proofErr w:type="spellStart"/>
      <w:r w:rsidRPr="00657B1E">
        <w:rPr>
          <w:iCs/>
        </w:rPr>
        <w:t>i</w:t>
      </w:r>
      <w:proofErr w:type="spellEnd"/>
      <w:r w:rsidRPr="00657B1E">
        <w:rPr>
          <w:iCs/>
        </w:rPr>
        <w:t>”</w:t>
      </w:r>
      <w:r>
        <w:rPr>
          <w:iCs/>
        </w:rPr>
        <w:t>;</w:t>
      </w:r>
    </w:p>
    <w:p w14:paraId="78BF17E7" w14:textId="32BA727B" w:rsidR="00657B1E" w:rsidRPr="00657B1E" w:rsidRDefault="00657B1E" w:rsidP="00657B1E">
      <w:pPr>
        <w:pStyle w:val="ListParagraph"/>
        <w:numPr>
          <w:ilvl w:val="0"/>
          <w:numId w:val="17"/>
        </w:numPr>
      </w:pPr>
      <w:proofErr w:type="spellStart"/>
      <w:r w:rsidRPr="00657B1E">
        <w:rPr>
          <w:iCs/>
        </w:rPr>
        <w:t>s</w:t>
      </w:r>
      <w:r w:rsidRPr="00657B1E">
        <w:rPr>
          <w:iCs/>
          <w:vertAlign w:val="subscript"/>
        </w:rPr>
        <w:t>i</w:t>
      </w:r>
      <w:proofErr w:type="spellEnd"/>
      <w:r w:rsidRPr="00657B1E">
        <w:rPr>
          <w:iCs/>
        </w:rPr>
        <w:t xml:space="preserve"> is the model-assigned score for state “</w:t>
      </w:r>
      <w:proofErr w:type="spellStart"/>
      <w:r w:rsidRPr="00657B1E">
        <w:rPr>
          <w:iCs/>
        </w:rPr>
        <w:t>i</w:t>
      </w:r>
      <w:proofErr w:type="spellEnd"/>
      <w:r w:rsidRPr="00657B1E">
        <w:rPr>
          <w:iCs/>
        </w:rPr>
        <w:t>”</w:t>
      </w:r>
      <w:r>
        <w:rPr>
          <w:iCs/>
        </w:rPr>
        <w:t>;</w:t>
      </w:r>
    </w:p>
    <w:p w14:paraId="26FED012" w14:textId="77777777" w:rsidR="00657B1E" w:rsidRPr="00657B1E" w:rsidRDefault="00657B1E" w:rsidP="00657B1E">
      <w:pPr>
        <w:pStyle w:val="ListParagraph"/>
        <w:numPr>
          <w:ilvl w:val="0"/>
          <w:numId w:val="17"/>
        </w:numPr>
      </w:pPr>
      <w:r w:rsidRPr="00657B1E">
        <w:rPr>
          <w:iCs/>
        </w:rPr>
        <w:t>subscripts “</w:t>
      </w:r>
      <w:proofErr w:type="spellStart"/>
      <w:r w:rsidRPr="00657B1E">
        <w:rPr>
          <w:iCs/>
        </w:rPr>
        <w:t>i</w:t>
      </w:r>
      <w:proofErr w:type="spellEnd"/>
      <w:r w:rsidRPr="00657B1E">
        <w:rPr>
          <w:iCs/>
        </w:rPr>
        <w:t>”, “j”, and “k” are indices over the states of Criterion 1, Criterion 2</w:t>
      </w:r>
      <w:r>
        <w:rPr>
          <w:iCs/>
        </w:rPr>
        <w:t>, and Criterion 3, respectively;</w:t>
      </w:r>
    </w:p>
    <w:p w14:paraId="35D0C9ED" w14:textId="3561BD43" w:rsidR="00657B1E" w:rsidRPr="00657B1E" w:rsidRDefault="00657B1E" w:rsidP="00657B1E">
      <w:pPr>
        <w:pStyle w:val="ListParagraph"/>
        <w:numPr>
          <w:ilvl w:val="0"/>
          <w:numId w:val="17"/>
        </w:numPr>
      </w:pPr>
      <w:proofErr w:type="gramStart"/>
      <w:r>
        <w:rPr>
          <w:iCs/>
        </w:rPr>
        <w:t>l</w:t>
      </w:r>
      <w:proofErr w:type="gramEnd"/>
      <w:r>
        <w:rPr>
          <w:iCs/>
        </w:rPr>
        <w:t xml:space="preserve">, m, and n are the total number of states for </w:t>
      </w:r>
      <w:r w:rsidRPr="00657B1E">
        <w:rPr>
          <w:iCs/>
        </w:rPr>
        <w:t xml:space="preserve"> Criterion 1, Criterion 2</w:t>
      </w:r>
      <w:r>
        <w:rPr>
          <w:iCs/>
        </w:rPr>
        <w:t>, and Criterion 3, respectively.</w:t>
      </w:r>
    </w:p>
    <w:p w14:paraId="25DF6855" w14:textId="71044981" w:rsidR="00657B1E" w:rsidRDefault="00657B1E" w:rsidP="00657B1E"/>
    <w:p w14:paraId="596570D9" w14:textId="3C5B280C" w:rsidR="00657B1E" w:rsidRPr="00657B1E" w:rsidRDefault="00657B1E" w:rsidP="00074ADD">
      <w:pPr>
        <w:keepNext/>
        <w:keepLines/>
      </w:pPr>
    </w:p>
    <w:p w14:paraId="3169ADA9" w14:textId="101C2642" w:rsidR="00C53C3D" w:rsidRDefault="00EF2862" w:rsidP="00074ADD">
      <w:pPr>
        <w:keepNext/>
        <w:keepLines/>
      </w:pPr>
      <w:r>
        <w:rPr>
          <w:noProof/>
        </w:rPr>
        <w:lastRenderedPageBreak/>
        <w:drawing>
          <wp:anchor distT="0" distB="0" distL="114300" distR="114300" simplePos="0" relativeHeight="251667456" behindDoc="0" locked="0" layoutInCell="1" allowOverlap="1" wp14:anchorId="501659C7" wp14:editId="4541C51A">
            <wp:simplePos x="0" y="0"/>
            <wp:positionH relativeFrom="column">
              <wp:posOffset>56515</wp:posOffset>
            </wp:positionH>
            <wp:positionV relativeFrom="paragraph">
              <wp:posOffset>267970</wp:posOffset>
            </wp:positionV>
            <wp:extent cx="4572635" cy="1975485"/>
            <wp:effectExtent l="0" t="0" r="0" b="5715"/>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1975485"/>
                    </a:xfrm>
                    <a:prstGeom prst="rect">
                      <a:avLst/>
                    </a:prstGeom>
                    <a:noFill/>
                  </pic:spPr>
                </pic:pic>
              </a:graphicData>
            </a:graphic>
            <wp14:sizeRelH relativeFrom="page">
              <wp14:pctWidth>0</wp14:pctWidth>
            </wp14:sizeRelH>
            <wp14:sizeRelV relativeFrom="page">
              <wp14:pctHeight>0</wp14:pctHeight>
            </wp14:sizeRelV>
          </wp:anchor>
        </w:drawing>
      </w:r>
    </w:p>
    <w:p w14:paraId="3E37FC91" w14:textId="77777777" w:rsidR="00C53C3D" w:rsidRDefault="00C53C3D" w:rsidP="00074ADD">
      <w:pPr>
        <w:pStyle w:val="Caption"/>
        <w:keepNext/>
        <w:keepLines/>
      </w:pPr>
    </w:p>
    <w:p w14:paraId="04E12E28" w14:textId="77777777" w:rsidR="00C53C3D" w:rsidRDefault="00C53C3D" w:rsidP="00074ADD">
      <w:pPr>
        <w:pStyle w:val="Caption"/>
        <w:keepNext/>
        <w:keepLines/>
      </w:pPr>
    </w:p>
    <w:p w14:paraId="4DB46216" w14:textId="77777777" w:rsidR="00C53C3D" w:rsidRDefault="00C53C3D" w:rsidP="00074ADD">
      <w:pPr>
        <w:pStyle w:val="Caption"/>
        <w:keepNext/>
        <w:keepLines/>
      </w:pPr>
    </w:p>
    <w:p w14:paraId="1C23D09E" w14:textId="77777777" w:rsidR="00C53C3D" w:rsidRDefault="00C53C3D" w:rsidP="00074ADD">
      <w:pPr>
        <w:pStyle w:val="Caption"/>
        <w:keepNext/>
        <w:keepLines/>
      </w:pPr>
    </w:p>
    <w:p w14:paraId="25070315" w14:textId="77777777" w:rsidR="00C53C3D" w:rsidRDefault="00C53C3D" w:rsidP="00074ADD">
      <w:pPr>
        <w:pStyle w:val="Caption"/>
        <w:keepNext/>
        <w:keepLines/>
      </w:pPr>
    </w:p>
    <w:p w14:paraId="190E13A0" w14:textId="77777777" w:rsidR="00C53C3D" w:rsidRDefault="00C53C3D" w:rsidP="00074ADD">
      <w:pPr>
        <w:pStyle w:val="Caption"/>
        <w:keepNext/>
        <w:keepLines/>
      </w:pPr>
    </w:p>
    <w:p w14:paraId="07335E3A" w14:textId="77777777" w:rsidR="00EF2862" w:rsidRDefault="00EF2862" w:rsidP="00074ADD">
      <w:pPr>
        <w:pStyle w:val="Caption"/>
        <w:keepNext/>
        <w:keepLines/>
      </w:pPr>
    </w:p>
    <w:p w14:paraId="58B27A23" w14:textId="77777777" w:rsidR="00EF2862" w:rsidRDefault="00EF2862" w:rsidP="00074ADD">
      <w:pPr>
        <w:pStyle w:val="Caption"/>
        <w:keepNext/>
        <w:keepLines/>
      </w:pPr>
    </w:p>
    <w:p w14:paraId="258F1140" w14:textId="406F124C" w:rsidR="00C53C3D" w:rsidRDefault="00C53C3D" w:rsidP="00074ADD">
      <w:pPr>
        <w:pStyle w:val="Caption"/>
        <w:keepNext/>
        <w:keepLines/>
      </w:pPr>
      <w:r>
        <w:t xml:space="preserve">Figure </w:t>
      </w:r>
      <w:r w:rsidR="008A4183">
        <w:t>8</w:t>
      </w:r>
      <w:r>
        <w:t xml:space="preserve">. </w:t>
      </w:r>
      <w:proofErr w:type="gramStart"/>
      <w:r>
        <w:t>Example of a Bayesian network representation of uncertain vulnerability criteria contributing to an aggregate vulnerability score.</w:t>
      </w:r>
      <w:proofErr w:type="gramEnd"/>
    </w:p>
    <w:p w14:paraId="48364A04" w14:textId="77777777" w:rsidR="009A13D3" w:rsidRDefault="009A13D3" w:rsidP="00074ADD">
      <w:pPr>
        <w:keepNext/>
        <w:keepLines/>
        <w:widowControl/>
        <w:autoSpaceDE/>
        <w:autoSpaceDN/>
        <w:adjustRightInd/>
        <w:spacing w:before="0" w:after="200"/>
      </w:pPr>
    </w:p>
    <w:p w14:paraId="6501C819" w14:textId="77777777" w:rsidR="00C53C3D" w:rsidRDefault="00C53C3D" w:rsidP="00BF56F2"/>
    <w:p w14:paraId="5196EA04" w14:textId="66AE70C0" w:rsidR="00EF2862" w:rsidRDefault="00EF2862" w:rsidP="00EF2862">
      <w:pPr>
        <w:pStyle w:val="Heading4"/>
      </w:pPr>
      <w:r>
        <w:t>Vulnerability criteria as elicited probabilistic variables</w:t>
      </w:r>
    </w:p>
    <w:p w14:paraId="58F3D4D2" w14:textId="105425A5" w:rsidR="001C2ADA" w:rsidRDefault="00EF2862" w:rsidP="00EF2862">
      <w:r>
        <w:t xml:space="preserve">Figure </w:t>
      </w:r>
      <w:r w:rsidR="008A4183">
        <w:t>9</w:t>
      </w:r>
      <w:r>
        <w:t xml:space="preserve"> shows a more complete example of an ecosystem vulnerability model, again expressed as a Bayesian network</w:t>
      </w:r>
      <w:r w:rsidR="00BF15B2">
        <w:t xml:space="preserve">.  The </w:t>
      </w:r>
      <w:r w:rsidR="00172CF0">
        <w:t xml:space="preserve">vulnerability criteria are represented probabilistically by discrete probability distributions </w:t>
      </w:r>
      <w:r w:rsidR="00BF15B2">
        <w:t xml:space="preserve">that are inputs to a </w:t>
      </w:r>
      <w:r w:rsidR="00172CF0">
        <w:t>score aggregation model</w:t>
      </w:r>
      <w:r w:rsidR="00E001AD">
        <w:t xml:space="preserve"> (described in the next sub-section)</w:t>
      </w:r>
      <w:r w:rsidR="00172CF0">
        <w:t xml:space="preserve">.  </w:t>
      </w:r>
      <w:r w:rsidR="00234412">
        <w:t xml:space="preserve">For this illustration, we will assume an elicitation process with a single expert.  </w:t>
      </w:r>
      <w:r w:rsidR="00A93953">
        <w:t>The probability distribution</w:t>
      </w:r>
      <w:r w:rsidR="00DD301F">
        <w:t xml:space="preserve">s reflect the </w:t>
      </w:r>
      <w:r w:rsidR="00234412">
        <w:t>expert’s uncertain knowledge about each of the vulnerability criteria within the context of</w:t>
      </w:r>
      <w:r w:rsidR="00622945">
        <w:t xml:space="preserve"> a given stressor/endpoint pair</w:t>
      </w:r>
      <w:r w:rsidR="00DD301F">
        <w:t>,</w:t>
      </w:r>
      <w:r w:rsidR="00622945">
        <w:t xml:space="preserve"> for a defined assessment unit of Puget Sound (assessment scales are described later).</w:t>
      </w:r>
      <w:r w:rsidR="0040586A">
        <w:t xml:space="preserve">  The context associated with the assessment will be discussed during expert workshops and the documented assumptions will be an important part of the pressures assessment process.</w:t>
      </w:r>
      <w:r w:rsidR="001C2ADA">
        <w:t xml:space="preserve"> As shown in Figure </w:t>
      </w:r>
      <w:r w:rsidR="0094129D">
        <w:t>8</w:t>
      </w:r>
      <w:r w:rsidR="001C2ADA">
        <w:t xml:space="preserve">, the probabilistic vulnerability criteria are inputs into the expected (computed) intrinsic vulnerability score for the hypothetical endpoint/stressor pair.  </w:t>
      </w:r>
    </w:p>
    <w:p w14:paraId="2C8FEF56" w14:textId="77777777" w:rsidR="00E001AD" w:rsidRDefault="00E001AD" w:rsidP="00E001AD">
      <w:r>
        <w:t xml:space="preserve">The question of how to reconcile different probabilistic assessment responses from different experts for a given vulnerability criterion (for a given endpoint/stressor combination) should be considered carefully (Morgan and </w:t>
      </w:r>
      <w:proofErr w:type="spellStart"/>
      <w:r>
        <w:t>Henrion</w:t>
      </w:r>
      <w:proofErr w:type="spellEnd"/>
      <w:r>
        <w:t xml:space="preserve">, 1990; </w:t>
      </w:r>
      <w:proofErr w:type="spellStart"/>
      <w:r>
        <w:t>Gelman</w:t>
      </w:r>
      <w:proofErr w:type="spellEnd"/>
      <w:r>
        <w:t xml:space="preserve"> et al., 2003; </w:t>
      </w:r>
      <w:proofErr w:type="spellStart"/>
      <w:r>
        <w:t>Burgman</w:t>
      </w:r>
      <w:proofErr w:type="spellEnd"/>
      <w:r>
        <w:t xml:space="preserve">, 2005).  Halpern et al. (2007) averaged across replicate responses, weighting the responses by the certainty factor elicited from the respondent.  We recommend assessment reconciliation using a combination of group deliberative techniques during assessment workshops to facilitate discussion of </w:t>
      </w:r>
      <w:r w:rsidRPr="009323FE">
        <w:rPr>
          <w:i/>
        </w:rPr>
        <w:t>why</w:t>
      </w:r>
      <w:r>
        <w:t xml:space="preserve"> responses are different, with an opportunity for experts to revise their submitted responses if they desire.  Once the refined responses have been collected, they could be combined using a number of techniques, including bootstrapping (simulating) the final “reconciled” assessment distribution from the distributions representing the assessed responses from individual experts.</w:t>
      </w:r>
    </w:p>
    <w:p w14:paraId="3040447B" w14:textId="77777777" w:rsidR="00E001AD" w:rsidRDefault="00E001AD" w:rsidP="00EF2862"/>
    <w:p w14:paraId="5873A6ED" w14:textId="77777777" w:rsidR="00BF56F2" w:rsidRDefault="00BF56F2" w:rsidP="00BF56F2">
      <w:pPr>
        <w:keepNext/>
      </w:pPr>
      <w:r w:rsidRPr="003F4CE6">
        <w:rPr>
          <w:noProof/>
        </w:rPr>
        <w:lastRenderedPageBreak/>
        <w:drawing>
          <wp:inline distT="0" distB="0" distL="0" distR="0" wp14:anchorId="3DA851C1" wp14:editId="7D553473">
            <wp:extent cx="5486400" cy="265313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6531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7D7BB12" w14:textId="11F51289" w:rsidR="00BF56F2" w:rsidRDefault="00BF56F2" w:rsidP="00BF56F2">
      <w:pPr>
        <w:pStyle w:val="Caption"/>
      </w:pPr>
      <w:r>
        <w:t xml:space="preserve">Figure </w:t>
      </w:r>
      <w:r w:rsidR="008A4183">
        <w:t>9</w:t>
      </w:r>
      <w:r>
        <w:t>. Example of probabilistic calcu</w:t>
      </w:r>
      <w:r w:rsidR="0020373D">
        <w:t>l</w:t>
      </w:r>
      <w:r>
        <w:t>ation of intrinsic vulnerability score from criteria distributions.</w:t>
      </w:r>
    </w:p>
    <w:p w14:paraId="0E841ABE" w14:textId="2B08813A" w:rsidR="00EF2862" w:rsidRDefault="00EF2862" w:rsidP="00E001AD">
      <w:pPr>
        <w:keepNext/>
        <w:keepLines/>
        <w:widowControl/>
        <w:autoSpaceDE/>
        <w:autoSpaceDN/>
        <w:adjustRightInd/>
        <w:spacing w:before="0" w:after="200"/>
      </w:pPr>
      <w:r>
        <w:t>While proposing the use of Bayesian networks in the pressures assessment, we make several observations.  First, the primary audiences for this description are the assessors and technical staff that will be compiling and using elicited vulnerability criteria responses to generate aggregate vulnerability scores.  The domain (subject matter) experts that provide elicited information do not necessarily need to understand the underlying probabilistic tools used within the assessment and there are a variety of ways to communicate about this aspect of the assessment approach.  Similarly, assessment results can be communicated in terms of expected vulnerability scores without reference to probab</w:t>
      </w:r>
      <w:r w:rsidR="00E001AD">
        <w:t xml:space="preserve">ility distributions.  </w:t>
      </w:r>
      <w:r w:rsidR="006C32A9">
        <w:t xml:space="preserve">Note that small Bayesian networks can be easily computed within standard spreadsheet programs and discrete Bayesian networks can be solved using probability trees, with no need for using specialized algorithms. </w:t>
      </w:r>
      <w:r w:rsidR="00E001AD">
        <w:t xml:space="preserve">The major point </w:t>
      </w:r>
      <w:r>
        <w:t>is to use robust methods for assessing, incorporating, and interpreting assessment uncertaint</w:t>
      </w:r>
      <w:r w:rsidR="006C32A9">
        <w:t>y and to introduce the underlying theoretical framework involving Bayesian probability and decision analysis</w:t>
      </w:r>
      <w:r>
        <w:t xml:space="preserve">.  </w:t>
      </w:r>
    </w:p>
    <w:p w14:paraId="5E7F2E2C" w14:textId="0A49FABA" w:rsidR="00BF56F2" w:rsidRDefault="00BF56F2" w:rsidP="00BF56F2">
      <w:pPr>
        <w:pStyle w:val="Heading3"/>
      </w:pPr>
      <w:bookmarkStart w:id="16" w:name="_Toc256149268"/>
      <w:r>
        <w:t xml:space="preserve">Ecosystem </w:t>
      </w:r>
      <w:r w:rsidR="00FD0308">
        <w:t>vulnerability score aggregation approach</w:t>
      </w:r>
      <w:bookmarkEnd w:id="16"/>
    </w:p>
    <w:p w14:paraId="3C455DF5" w14:textId="77777777" w:rsidR="000747B5" w:rsidRDefault="000747B5" w:rsidP="000747B5">
      <w:pPr>
        <w:pStyle w:val="Heading4"/>
      </w:pPr>
      <w:r>
        <w:t>Vulnerability criteria scores from assessed states</w:t>
      </w:r>
    </w:p>
    <w:p w14:paraId="785CBEAC" w14:textId="5B0F368C" w:rsidR="00D07F9D" w:rsidRDefault="00D07F9D" w:rsidP="00D07F9D">
      <w:r>
        <w:t>Before potential aggregation models are discussed and the process for choosing a single approach is described, we discuss the system used to assign scores to the individual states defined for each vulnerability criterion.</w:t>
      </w:r>
      <w:r w:rsidR="000747B5">
        <w:t xml:space="preserve">  In the Halpern (2007) approach, states were ranked and the ranks themselves used as scores within a relative scoring system.  This makes the strong assumption that the marginal change in moving from one state to the next is constant throughout the range of states.  We propose that within the expert workshop process used to vet and refine the vulnerability model, the marginal change in scores between vulnerability criteria states are explored and chosen, yielding score/state curves of the type shown in Figure </w:t>
      </w:r>
      <w:r w:rsidR="008A4183">
        <w:t>10</w:t>
      </w:r>
      <w:r w:rsidR="000747B5">
        <w:t>.</w:t>
      </w:r>
      <w:r w:rsidR="00E7218A">
        <w:t xml:space="preserve">  The curves may hold generally for stressor/endpoint pairs that apply to an ecosystem domain, or there may be more than one set, each set applying to a particular grouping of stressor/endpoint pairs within an ecosystem domain.</w:t>
      </w:r>
      <w:r w:rsidR="002D411A">
        <w:t xml:space="preserve">  The score for a vulnerability criterion </w:t>
      </w:r>
      <w:r w:rsidR="002D411A">
        <w:lastRenderedPageBreak/>
        <w:t>would then come from this curve, based on the ranks associated with the probability distribution over the criterion’s states, as elic</w:t>
      </w:r>
      <w:r w:rsidR="00D71AC9">
        <w:t>ited during the expert group process.</w:t>
      </w:r>
    </w:p>
    <w:p w14:paraId="4B5E79EE" w14:textId="77777777" w:rsidR="00E7218A" w:rsidRDefault="00E7218A" w:rsidP="00D07F9D"/>
    <w:p w14:paraId="2F5D6CBD" w14:textId="77777777" w:rsidR="00E7218A" w:rsidRDefault="00E7218A" w:rsidP="00E7218A">
      <w:pPr>
        <w:keepNext/>
      </w:pPr>
      <w:r>
        <w:rPr>
          <w:noProof/>
        </w:rPr>
        <w:drawing>
          <wp:inline distT="0" distB="0" distL="0" distR="0" wp14:anchorId="02666DF8" wp14:editId="2BAB7D56">
            <wp:extent cx="4572000" cy="1536192"/>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536192"/>
                    </a:xfrm>
                    <a:prstGeom prst="rect">
                      <a:avLst/>
                    </a:prstGeom>
                    <a:noFill/>
                  </pic:spPr>
                </pic:pic>
              </a:graphicData>
            </a:graphic>
          </wp:inline>
        </w:drawing>
      </w:r>
    </w:p>
    <w:p w14:paraId="75C051D3" w14:textId="002888B7" w:rsidR="000747B5" w:rsidRDefault="00E7218A" w:rsidP="00E7218A">
      <w:pPr>
        <w:pStyle w:val="Caption"/>
      </w:pPr>
      <w:r>
        <w:t xml:space="preserve">Figure </w:t>
      </w:r>
      <w:r w:rsidR="008A4183">
        <w:t>10</w:t>
      </w:r>
      <w:r>
        <w:t>. Example of rank/score curves for two vulnerability criteria defined within a single ecosystem domain.</w:t>
      </w:r>
    </w:p>
    <w:p w14:paraId="782AE7BC" w14:textId="64D7B95D" w:rsidR="000747B5" w:rsidRDefault="00E7218A" w:rsidP="00E7218A">
      <w:pPr>
        <w:pStyle w:val="Heading4"/>
      </w:pPr>
      <w:r>
        <w:t>Score aggregation model</w:t>
      </w:r>
    </w:p>
    <w:p w14:paraId="501B2D5E" w14:textId="740F71B9" w:rsidR="00BF56F2" w:rsidRDefault="00BF56F2" w:rsidP="00BF56F2">
      <w:r>
        <w:t>An important aspect of the ecosystem vulnerability model is the aggregation approach used to combine the vulnerability criteria inputs into a single vulnerability score that represents, in relative terms, how vulnerable an ecosystem component (or assessment endpoint) is to a particular stressor.  Halpern et al. (2007) refer to their aggregation approach as a “modifier model”</w:t>
      </w:r>
      <w:r w:rsidR="00311919">
        <w:t xml:space="preserve">.  The Halpern et al. (2007) modifier model </w:t>
      </w:r>
      <w:r w:rsidR="00E2799E">
        <w:t xml:space="preserve">that </w:t>
      </w:r>
      <w:r>
        <w:t>averages across replicate survey (assessment) responses to generate a single (assessed) score for each criterion, which are in turn weighted and summed across criteria to generate a weighted-average vulnerability score</w:t>
      </w:r>
      <w:r w:rsidR="00E2799E">
        <w:t xml:space="preserve"> using a linear-additive model</w:t>
      </w:r>
      <w:r w:rsidR="00B9394E">
        <w:rPr>
          <w:rStyle w:val="FootnoteReference"/>
        </w:rPr>
        <w:footnoteReference w:id="8"/>
      </w:r>
      <w:r>
        <w:t xml:space="preserve">.  </w:t>
      </w:r>
      <w:r w:rsidR="00B9394E">
        <w:t xml:space="preserve">  </w:t>
      </w:r>
      <w:r>
        <w:t xml:space="preserve">In the Halpern et al. (2007) approach, the certainty factor is used in the weighting process to inflate the scores of well-documented pressure/endpoint combinations and to depress the scores of poorly-studied combinations.  In comparison, </w:t>
      </w:r>
      <w:r w:rsidR="00311919">
        <w:t>a</w:t>
      </w:r>
      <w:r>
        <w:t xml:space="preserve"> Bayesian probabilistic approach </w:t>
      </w:r>
      <w:r w:rsidR="00311919">
        <w:t>treats uncertainty within a theoretically-robust framework that uses subjective probability to represent and propagate uncertainty.  For example</w:t>
      </w:r>
      <w:r>
        <w:t xml:space="preserve">, complete ignorance over the states of a vulnerability criterion could be represented as a uniform distribution over the possible states, which would yield a criterion score equal to the average score of the possible states.  More precise knowledge could be represented through assigning a higher probability to a particular vulnerability criterion state, which would </w:t>
      </w:r>
      <w:r w:rsidR="001F1C28">
        <w:t>drive</w:t>
      </w:r>
      <w:r>
        <w:t xml:space="preserve"> the criterion score </w:t>
      </w:r>
      <w:r w:rsidR="001F1C28">
        <w:t>toward the score associated with that state, with the exact score depending on the probability distribution that expresses the expert’s uncertainty</w:t>
      </w:r>
      <w:r>
        <w:t>.</w:t>
      </w:r>
    </w:p>
    <w:p w14:paraId="7DBB9DF2" w14:textId="6F82EBBB" w:rsidR="00C25972" w:rsidRDefault="00E2799E" w:rsidP="009D6631">
      <w:r>
        <w:t xml:space="preserve">A </w:t>
      </w:r>
      <w:r w:rsidR="00EA133B">
        <w:t xml:space="preserve">linear additive aggregation model </w:t>
      </w:r>
      <w:r w:rsidR="00AF0B85">
        <w:t xml:space="preserve">(Figure </w:t>
      </w:r>
      <w:r w:rsidR="0094129D">
        <w:t>1</w:t>
      </w:r>
      <w:r w:rsidR="008A4183">
        <w:t>1</w:t>
      </w:r>
      <w:r w:rsidR="00AF0B85">
        <w:t xml:space="preserve">) </w:t>
      </w:r>
      <w:r w:rsidR="00EA133B">
        <w:t xml:space="preserve">is </w:t>
      </w:r>
      <w:r w:rsidR="00AF0B85">
        <w:t xml:space="preserve">the </w:t>
      </w:r>
      <w:r w:rsidR="00EA133B">
        <w:t>simplest approach and is based on the strong assumption that the vulnerability criteria are independent of one another in the sense that the contribution to vulnerability from one criterion does not interact with the contribution to vulnerability from another criterion.  In the context of Bayesian networks and reasoning under uncertainty, this could be referred to as “causal independence”</w:t>
      </w:r>
      <w:r w:rsidR="00AF0B85">
        <w:t xml:space="preserve"> (e.g., Zhang and Poole, 1996).  While this </w:t>
      </w:r>
      <w:r w:rsidR="00ED444B">
        <w:t xml:space="preserve">is recognized as a </w:t>
      </w:r>
      <w:r w:rsidR="00ED444B">
        <w:lastRenderedPageBreak/>
        <w:t>strong assumption the linear-additive model</w:t>
      </w:r>
      <w:r w:rsidR="00EA133B">
        <w:t xml:space="preserve"> is sometimes justified as a “first order” solution </w:t>
      </w:r>
      <w:r w:rsidR="00ED444B">
        <w:t xml:space="preserve">that is supported by </w:t>
      </w:r>
      <w:r w:rsidR="00EA133B">
        <w:t>a lack of</w:t>
      </w:r>
      <w:r w:rsidR="00ED444B">
        <w:t xml:space="preserve"> information about interactions.</w:t>
      </w:r>
    </w:p>
    <w:p w14:paraId="23467255" w14:textId="77777777" w:rsidR="0094129D" w:rsidRDefault="00C25972" w:rsidP="0094129D">
      <w:r w:rsidRPr="00C25972">
        <w:rPr>
          <w:rStyle w:val="Emphasis"/>
        </w:rPr>
        <w:t>Linear additive model</w:t>
      </w:r>
      <w:r>
        <w:t xml:space="preserve">:  </w:t>
      </w:r>
      <w:proofErr w:type="gramStart"/>
      <w:r>
        <w:t>U(</w:t>
      </w:r>
      <w:proofErr w:type="gramEnd"/>
      <w:r>
        <w:t>x</w:t>
      </w:r>
      <w:r>
        <w:rPr>
          <w:vertAlign w:val="subscript"/>
        </w:rPr>
        <w:t>1</w:t>
      </w:r>
      <w:r>
        <w:t>,…,</w:t>
      </w:r>
      <w:proofErr w:type="spellStart"/>
      <w:r>
        <w:t>x</w:t>
      </w:r>
      <w:r>
        <w:rPr>
          <w:vertAlign w:val="subscript"/>
        </w:rPr>
        <w:t>m</w:t>
      </w:r>
      <w:proofErr w:type="spellEnd"/>
      <w:r>
        <w:t>) = c</w:t>
      </w:r>
      <w:r>
        <w:rPr>
          <w:vertAlign w:val="subscript"/>
        </w:rPr>
        <w:t>1</w:t>
      </w:r>
      <w:r>
        <w:t>U</w:t>
      </w:r>
      <w:r>
        <w:rPr>
          <w:vertAlign w:val="subscript"/>
        </w:rPr>
        <w:t>1</w:t>
      </w:r>
      <w:r>
        <w:t>(x</w:t>
      </w:r>
      <w:r>
        <w:rPr>
          <w:vertAlign w:val="subscript"/>
        </w:rPr>
        <w:t>1</w:t>
      </w:r>
      <w:r>
        <w:t xml:space="preserve">) + … + </w:t>
      </w:r>
      <w:proofErr w:type="spellStart"/>
      <w:r>
        <w:t>c</w:t>
      </w:r>
      <w:r>
        <w:rPr>
          <w:vertAlign w:val="subscript"/>
        </w:rPr>
        <w:t>m</w:t>
      </w:r>
      <w:r>
        <w:t>U</w:t>
      </w:r>
      <w:r>
        <w:rPr>
          <w:vertAlign w:val="subscript"/>
        </w:rPr>
        <w:t>m</w:t>
      </w:r>
      <w:proofErr w:type="spellEnd"/>
      <w:r>
        <w:t>(</w:t>
      </w:r>
      <w:proofErr w:type="spellStart"/>
      <w:r>
        <w:t>x</w:t>
      </w:r>
      <w:r>
        <w:rPr>
          <w:vertAlign w:val="subscript"/>
        </w:rPr>
        <w:t>m</w:t>
      </w:r>
      <w:proofErr w:type="spellEnd"/>
      <w:r>
        <w:t>) , where c</w:t>
      </w:r>
      <w:r>
        <w:rPr>
          <w:vertAlign w:val="subscript"/>
        </w:rPr>
        <w:t>i</w:t>
      </w:r>
      <w:r>
        <w:t xml:space="preserve"> is the weight for the “</w:t>
      </w:r>
      <w:proofErr w:type="spellStart"/>
      <w:r>
        <w:t>ith</w:t>
      </w:r>
      <w:proofErr w:type="spellEnd"/>
      <w:r>
        <w:t xml:space="preserve">” attribute and </w:t>
      </w:r>
      <w:proofErr w:type="spellStart"/>
      <w:r>
        <w:t>U</w:t>
      </w:r>
      <w:r>
        <w:rPr>
          <w:vertAlign w:val="subscript"/>
        </w:rPr>
        <w:t>i</w:t>
      </w:r>
      <w:proofErr w:type="spellEnd"/>
      <w:r>
        <w:t>(x</w:t>
      </w:r>
      <w:r>
        <w:rPr>
          <w:vertAlign w:val="subscript"/>
        </w:rPr>
        <w:t>i</w:t>
      </w:r>
      <w:r>
        <w:t>) is the utility of attribute x</w:t>
      </w:r>
      <w:r w:rsidRPr="00C25972">
        <w:rPr>
          <w:vertAlign w:val="subscript"/>
        </w:rPr>
        <w:t>i</w:t>
      </w:r>
      <w:r>
        <w:t xml:space="preserve"> .</w:t>
      </w:r>
      <w:r w:rsidR="0094129D">
        <w:t xml:space="preserve">  A more general model based on </w:t>
      </w:r>
      <w:proofErr w:type="spellStart"/>
      <w:r w:rsidR="0094129D">
        <w:t>multiattribute</w:t>
      </w:r>
      <w:proofErr w:type="spellEnd"/>
      <w:r w:rsidR="0094129D">
        <w:t xml:space="preserve"> utility models with interactions is also a possible approach, but requires more attention (</w:t>
      </w:r>
      <w:proofErr w:type="spellStart"/>
      <w:r w:rsidR="0094129D">
        <w:t>Clemen</w:t>
      </w:r>
      <w:proofErr w:type="spellEnd"/>
      <w:r w:rsidR="0094129D">
        <w:t>, 1996).  With a relatively small number of attribute/state combinations, perhaps the simplest way to think about this approach is to think in terms of scoring exceptions from the score obtained from the linear additive model.</w:t>
      </w:r>
    </w:p>
    <w:p w14:paraId="2BB420E2" w14:textId="11AC206A" w:rsidR="0094129D" w:rsidRDefault="0094129D" w:rsidP="0094129D">
      <w:r>
        <w:rPr>
          <w:rStyle w:val="Emphasis"/>
        </w:rPr>
        <w:t>Linear additive model with exceptions:</w:t>
      </w:r>
      <w:r w:rsidRPr="00015F9B">
        <w:t xml:space="preserve"> </w:t>
      </w:r>
      <w:proofErr w:type="gramStart"/>
      <w:r>
        <w:t>U(</w:t>
      </w:r>
      <w:proofErr w:type="gramEnd"/>
      <w:r>
        <w:t>x</w:t>
      </w:r>
      <w:r>
        <w:rPr>
          <w:vertAlign w:val="subscript"/>
        </w:rPr>
        <w:t>1</w:t>
      </w:r>
      <w:r>
        <w:t>,…,</w:t>
      </w:r>
      <w:proofErr w:type="spellStart"/>
      <w:r>
        <w:t>x</w:t>
      </w:r>
      <w:r>
        <w:rPr>
          <w:vertAlign w:val="subscript"/>
        </w:rPr>
        <w:t>m</w:t>
      </w:r>
      <w:proofErr w:type="spellEnd"/>
      <w:r>
        <w:t>) = c</w:t>
      </w:r>
      <w:r>
        <w:rPr>
          <w:vertAlign w:val="subscript"/>
        </w:rPr>
        <w:t>1</w:t>
      </w:r>
      <w:r>
        <w:t>U</w:t>
      </w:r>
      <w:r>
        <w:rPr>
          <w:vertAlign w:val="subscript"/>
        </w:rPr>
        <w:t>1</w:t>
      </w:r>
      <w:r>
        <w:t>(x</w:t>
      </w:r>
      <w:r>
        <w:rPr>
          <w:vertAlign w:val="subscript"/>
        </w:rPr>
        <w:t>1</w:t>
      </w:r>
      <w:r>
        <w:t xml:space="preserve">) + … + </w:t>
      </w:r>
      <w:proofErr w:type="spellStart"/>
      <w:r>
        <w:t>c</w:t>
      </w:r>
      <w:r>
        <w:rPr>
          <w:vertAlign w:val="subscript"/>
        </w:rPr>
        <w:t>m</w:t>
      </w:r>
      <w:r>
        <w:t>U</w:t>
      </w:r>
      <w:r>
        <w:rPr>
          <w:vertAlign w:val="subscript"/>
        </w:rPr>
        <w:t>m</w:t>
      </w:r>
      <w:proofErr w:type="spellEnd"/>
      <w:r>
        <w:t>(</w:t>
      </w:r>
      <w:proofErr w:type="spellStart"/>
      <w:r>
        <w:t>x</w:t>
      </w:r>
      <w:r>
        <w:rPr>
          <w:vertAlign w:val="subscript"/>
        </w:rPr>
        <w:t>m</w:t>
      </w:r>
      <w:proofErr w:type="spellEnd"/>
      <w:r>
        <w:t>) + E</w:t>
      </w:r>
      <w:r>
        <w:rPr>
          <w:vertAlign w:val="subscript"/>
        </w:rPr>
        <w:t>1</w:t>
      </w:r>
      <w:r>
        <w:t>(x</w:t>
      </w:r>
      <w:r w:rsidRPr="00015F9B">
        <w:rPr>
          <w:vertAlign w:val="subscript"/>
        </w:rPr>
        <w:t>1</w:t>
      </w:r>
      <w:r>
        <w:t xml:space="preserve">) + … + </w:t>
      </w:r>
      <w:proofErr w:type="spellStart"/>
      <w:r>
        <w:t>E</w:t>
      </w:r>
      <w:r>
        <w:rPr>
          <w:vertAlign w:val="subscript"/>
        </w:rPr>
        <w:t>m</w:t>
      </w:r>
      <w:proofErr w:type="spellEnd"/>
      <w:r>
        <w:t>(</w:t>
      </w:r>
      <w:proofErr w:type="spellStart"/>
      <w:r>
        <w:t>x</w:t>
      </w:r>
      <w:r w:rsidRPr="00015F9B">
        <w:rPr>
          <w:vertAlign w:val="subscript"/>
        </w:rPr>
        <w:t>m</w:t>
      </w:r>
      <w:proofErr w:type="spellEnd"/>
      <w:r>
        <w:t xml:space="preserve">), where </w:t>
      </w:r>
      <w:proofErr w:type="spellStart"/>
      <w:r>
        <w:t>E</w:t>
      </w:r>
      <w:r w:rsidRPr="00015F9B">
        <w:rPr>
          <w:vertAlign w:val="subscript"/>
        </w:rPr>
        <w:t>i</w:t>
      </w:r>
      <w:proofErr w:type="spellEnd"/>
      <w:r>
        <w:t>(x</w:t>
      </w:r>
      <w:r>
        <w:rPr>
          <w:vertAlign w:val="subscript"/>
        </w:rPr>
        <w:t>i</w:t>
      </w:r>
      <w:r>
        <w:t>) is an exception term (e.g., a penalty) that is non-zero for some states, but zero for most states.  For example, if we decide that a score of “0” for vulnerability criteria conceptually related to the sensitivity of an assessment endpoint to a stressor should be penalized beyond the score of “0”, to reflect the severity of the catastrophic outcome, a penalty could be applied for those situations (Table 3).  Table 3 shows the situation where a penalty in score is applied since the “Resistance” score is 0 (corresponding to low resistance of the endpoint to the stressor).  Of course, Table 3 is a small part of a much larger table (with 5 criteria, each with 5 states, the table would have 3125 combinations), so the number of situations with exceptions could become unwieldy when exceptions are considered on a case-by-case basis.  However, if exceptions could be codified using a manageable number of rules, the size of the table is less pertinent.</w:t>
      </w:r>
    </w:p>
    <w:p w14:paraId="5E975A38" w14:textId="77777777" w:rsidR="00AF1018" w:rsidRDefault="00AF1018" w:rsidP="0094129D"/>
    <w:p w14:paraId="6F6D010A" w14:textId="77777777" w:rsidR="00AF1018" w:rsidRDefault="00AF1018" w:rsidP="0094129D"/>
    <w:p w14:paraId="42378651" w14:textId="3DCB3EA0" w:rsidR="00ED444B" w:rsidRPr="00C25972" w:rsidRDefault="0094129D" w:rsidP="009D6631">
      <w:r w:rsidRPr="00AF0B85">
        <w:rPr>
          <w:noProof/>
        </w:rPr>
        <w:drawing>
          <wp:inline distT="0" distB="0" distL="0" distR="0" wp14:anchorId="392E4728" wp14:editId="3F6CAADD">
            <wp:extent cx="4572000" cy="2406015"/>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406015"/>
                    </a:xfrm>
                    <a:prstGeom prst="rect">
                      <a:avLst/>
                    </a:prstGeom>
                    <a:noFill/>
                    <a:ln>
                      <a:noFill/>
                    </a:ln>
                    <a:effectLst/>
                    <a:extLst/>
                  </pic:spPr>
                </pic:pic>
              </a:graphicData>
            </a:graphic>
          </wp:inline>
        </w:drawing>
      </w:r>
    </w:p>
    <w:p w14:paraId="43D51CA4" w14:textId="1660ECEB" w:rsidR="00AF0B85" w:rsidRDefault="00AF0B85" w:rsidP="0094129D">
      <w:pPr>
        <w:pStyle w:val="Caption"/>
        <w:keepNext/>
        <w:keepLines/>
        <w:widowControl/>
      </w:pPr>
      <w:r>
        <w:t xml:space="preserve">Figure </w:t>
      </w:r>
      <w:r w:rsidR="0094129D">
        <w:t>1</w:t>
      </w:r>
      <w:r w:rsidR="008A4183">
        <w:t>1</w:t>
      </w:r>
      <w:r>
        <w:t xml:space="preserve">. </w:t>
      </w:r>
      <w:proofErr w:type="gramStart"/>
      <w:r>
        <w:t xml:space="preserve">Aggregation scoring function as </w:t>
      </w:r>
      <w:r w:rsidR="00A612BB">
        <w:t xml:space="preserve">a </w:t>
      </w:r>
      <w:r w:rsidR="0094129D">
        <w:t>Bayesian network value</w:t>
      </w:r>
      <w:r w:rsidR="00A612BB">
        <w:t xml:space="preserve"> function with vulnerability criteria as </w:t>
      </w:r>
      <w:r w:rsidR="0094129D">
        <w:t xml:space="preserve">chance variable </w:t>
      </w:r>
      <w:r w:rsidR="00A612BB">
        <w:t>inputs</w:t>
      </w:r>
      <w:r>
        <w:t>.</w:t>
      </w:r>
      <w:proofErr w:type="gramEnd"/>
    </w:p>
    <w:p w14:paraId="609CE78A" w14:textId="77777777" w:rsidR="0094129D" w:rsidRDefault="0094129D" w:rsidP="009D6631">
      <w:pPr>
        <w:rPr>
          <w:rStyle w:val="Emphasis"/>
        </w:rPr>
      </w:pPr>
    </w:p>
    <w:p w14:paraId="4F963B6F" w14:textId="77777777" w:rsidR="00015F9B" w:rsidRDefault="00015F9B" w:rsidP="009D6631"/>
    <w:p w14:paraId="28A4572A" w14:textId="3E6867CD" w:rsidR="00015F9B" w:rsidRPr="00015F9B" w:rsidRDefault="00015F9B" w:rsidP="00AF1018">
      <w:pPr>
        <w:keepNext/>
        <w:keepLines/>
      </w:pPr>
      <w:r>
        <w:lastRenderedPageBreak/>
        <w:t xml:space="preserve">Table </w:t>
      </w:r>
      <w:r w:rsidR="00892D05">
        <w:t>3</w:t>
      </w:r>
      <w:r>
        <w:t xml:space="preserve">.  </w:t>
      </w:r>
      <w:proofErr w:type="gramStart"/>
      <w:r>
        <w:t>Use of exceptions to modify linea</w:t>
      </w:r>
      <w:r w:rsidR="00681964">
        <w:t>r additive aggregation function.</w:t>
      </w:r>
      <w:proofErr w:type="gramEnd"/>
    </w:p>
    <w:tbl>
      <w:tblPr>
        <w:tblW w:w="7280" w:type="dxa"/>
        <w:tblInd w:w="98" w:type="dxa"/>
        <w:tblLook w:val="04A0" w:firstRow="1" w:lastRow="0" w:firstColumn="1" w:lastColumn="0" w:noHBand="0" w:noVBand="1"/>
      </w:tblPr>
      <w:tblGrid>
        <w:gridCol w:w="2500"/>
        <w:gridCol w:w="1560"/>
        <w:gridCol w:w="1600"/>
        <w:gridCol w:w="1620"/>
      </w:tblGrid>
      <w:tr w:rsidR="00C25972" w:rsidRPr="00C25972" w14:paraId="7A5489F0" w14:textId="77777777" w:rsidTr="00C25972">
        <w:trPr>
          <w:trHeight w:val="300"/>
        </w:trPr>
        <w:tc>
          <w:tcPr>
            <w:tcW w:w="2500" w:type="dxa"/>
            <w:tcBorders>
              <w:top w:val="single" w:sz="8" w:space="0" w:color="auto"/>
              <w:left w:val="single" w:sz="8" w:space="0" w:color="auto"/>
              <w:bottom w:val="nil"/>
              <w:right w:val="single" w:sz="8" w:space="0" w:color="auto"/>
            </w:tcBorders>
            <w:shd w:val="clear" w:color="000000" w:fill="F2F2F2"/>
            <w:noWrap/>
            <w:vAlign w:val="bottom"/>
            <w:hideMark/>
          </w:tcPr>
          <w:p w14:paraId="420CDB9C"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STATES→</w:t>
            </w:r>
          </w:p>
        </w:tc>
        <w:tc>
          <w:tcPr>
            <w:tcW w:w="1560" w:type="dxa"/>
            <w:tcBorders>
              <w:top w:val="single" w:sz="8" w:space="0" w:color="auto"/>
              <w:left w:val="nil"/>
              <w:bottom w:val="nil"/>
              <w:right w:val="single" w:sz="8" w:space="0" w:color="auto"/>
            </w:tcBorders>
            <w:shd w:val="clear" w:color="000000" w:fill="7030A0"/>
            <w:noWrap/>
            <w:vAlign w:val="bottom"/>
            <w:hideMark/>
          </w:tcPr>
          <w:p w14:paraId="0251C385" w14:textId="77777777" w:rsidR="00C25972" w:rsidRPr="00C25972" w:rsidRDefault="00C25972" w:rsidP="00AF1018">
            <w:pPr>
              <w:keepNext/>
              <w:keepLines/>
              <w:autoSpaceDE/>
              <w:autoSpaceDN/>
              <w:adjustRightInd/>
              <w:spacing w:before="0" w:after="0" w:line="240" w:lineRule="auto"/>
              <w:rPr>
                <w:rFonts w:ascii="Calibri" w:hAnsi="Calibri"/>
                <w:color w:val="FFFF00"/>
              </w:rPr>
            </w:pPr>
            <w:r w:rsidRPr="00C25972">
              <w:rPr>
                <w:rFonts w:ascii="Calibri" w:hAnsi="Calibri"/>
                <w:color w:val="FFFF00"/>
              </w:rPr>
              <w:t>No Threat</w:t>
            </w:r>
          </w:p>
        </w:tc>
        <w:tc>
          <w:tcPr>
            <w:tcW w:w="1600" w:type="dxa"/>
            <w:tcBorders>
              <w:top w:val="single" w:sz="8" w:space="0" w:color="auto"/>
              <w:left w:val="nil"/>
              <w:bottom w:val="nil"/>
              <w:right w:val="single" w:sz="8" w:space="0" w:color="auto"/>
            </w:tcBorders>
            <w:shd w:val="clear" w:color="000000" w:fill="7030A0"/>
            <w:noWrap/>
            <w:vAlign w:val="bottom"/>
            <w:hideMark/>
          </w:tcPr>
          <w:p w14:paraId="15C6829C" w14:textId="77777777" w:rsidR="00C25972" w:rsidRPr="00C25972" w:rsidRDefault="00C25972" w:rsidP="00AF1018">
            <w:pPr>
              <w:keepNext/>
              <w:keepLines/>
              <w:autoSpaceDE/>
              <w:autoSpaceDN/>
              <w:adjustRightInd/>
              <w:spacing w:before="0" w:after="0" w:line="240" w:lineRule="auto"/>
              <w:rPr>
                <w:rFonts w:ascii="Calibri" w:hAnsi="Calibri"/>
                <w:color w:val="FFFF00"/>
              </w:rPr>
            </w:pPr>
            <w:r w:rsidRPr="00C25972">
              <w:rPr>
                <w:rFonts w:ascii="Calibri" w:hAnsi="Calibri"/>
                <w:color w:val="FFFF00"/>
              </w:rPr>
              <w:t>No Threat</w:t>
            </w:r>
          </w:p>
        </w:tc>
        <w:tc>
          <w:tcPr>
            <w:tcW w:w="1620" w:type="dxa"/>
            <w:tcBorders>
              <w:top w:val="single" w:sz="8" w:space="0" w:color="auto"/>
              <w:left w:val="nil"/>
              <w:bottom w:val="nil"/>
              <w:right w:val="single" w:sz="8" w:space="0" w:color="auto"/>
            </w:tcBorders>
            <w:shd w:val="clear" w:color="000000" w:fill="7030A0"/>
            <w:noWrap/>
            <w:vAlign w:val="bottom"/>
            <w:hideMark/>
          </w:tcPr>
          <w:p w14:paraId="7B8D647A" w14:textId="77777777" w:rsidR="00C25972" w:rsidRPr="00C25972" w:rsidRDefault="00C25972" w:rsidP="00AF1018">
            <w:pPr>
              <w:keepNext/>
              <w:keepLines/>
              <w:autoSpaceDE/>
              <w:autoSpaceDN/>
              <w:adjustRightInd/>
              <w:spacing w:before="0" w:after="0" w:line="240" w:lineRule="auto"/>
              <w:rPr>
                <w:rFonts w:ascii="Calibri" w:hAnsi="Calibri"/>
                <w:color w:val="FFFF00"/>
              </w:rPr>
            </w:pPr>
            <w:r w:rsidRPr="00C25972">
              <w:rPr>
                <w:rFonts w:ascii="Calibri" w:hAnsi="Calibri"/>
                <w:color w:val="FFFF00"/>
              </w:rPr>
              <w:t>No Threat</w:t>
            </w:r>
          </w:p>
        </w:tc>
      </w:tr>
      <w:tr w:rsidR="00C25972" w:rsidRPr="00C25972" w14:paraId="10939BD6" w14:textId="77777777" w:rsidTr="00C25972">
        <w:trPr>
          <w:trHeight w:val="300"/>
        </w:trPr>
        <w:tc>
          <w:tcPr>
            <w:tcW w:w="2500" w:type="dxa"/>
            <w:tcBorders>
              <w:top w:val="nil"/>
              <w:left w:val="single" w:sz="8" w:space="0" w:color="auto"/>
              <w:bottom w:val="nil"/>
              <w:right w:val="single" w:sz="8" w:space="0" w:color="auto"/>
            </w:tcBorders>
            <w:shd w:val="clear" w:color="000000" w:fill="F2F2F2"/>
            <w:noWrap/>
            <w:vAlign w:val="bottom"/>
            <w:hideMark/>
          </w:tcPr>
          <w:p w14:paraId="183CB281"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 </w:t>
            </w:r>
          </w:p>
        </w:tc>
        <w:tc>
          <w:tcPr>
            <w:tcW w:w="1560" w:type="dxa"/>
            <w:tcBorders>
              <w:top w:val="nil"/>
              <w:left w:val="nil"/>
              <w:bottom w:val="nil"/>
              <w:right w:val="single" w:sz="8" w:space="0" w:color="auto"/>
            </w:tcBorders>
            <w:shd w:val="clear" w:color="000000" w:fill="00B0F0"/>
            <w:noWrap/>
            <w:vAlign w:val="bottom"/>
            <w:hideMark/>
          </w:tcPr>
          <w:p w14:paraId="6B98AB25"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No Threat</w:t>
            </w:r>
          </w:p>
        </w:tc>
        <w:tc>
          <w:tcPr>
            <w:tcW w:w="1600" w:type="dxa"/>
            <w:tcBorders>
              <w:top w:val="nil"/>
              <w:left w:val="nil"/>
              <w:bottom w:val="nil"/>
              <w:right w:val="single" w:sz="8" w:space="0" w:color="auto"/>
            </w:tcBorders>
            <w:shd w:val="clear" w:color="000000" w:fill="00B0F0"/>
            <w:noWrap/>
            <w:vAlign w:val="bottom"/>
            <w:hideMark/>
          </w:tcPr>
          <w:p w14:paraId="5AEA91B1"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No Threat</w:t>
            </w:r>
          </w:p>
        </w:tc>
        <w:tc>
          <w:tcPr>
            <w:tcW w:w="1620" w:type="dxa"/>
            <w:tcBorders>
              <w:top w:val="nil"/>
              <w:left w:val="nil"/>
              <w:bottom w:val="nil"/>
              <w:right w:val="single" w:sz="8" w:space="0" w:color="auto"/>
            </w:tcBorders>
            <w:shd w:val="clear" w:color="000000" w:fill="00B0F0"/>
            <w:noWrap/>
            <w:vAlign w:val="bottom"/>
            <w:hideMark/>
          </w:tcPr>
          <w:p w14:paraId="73E418AD"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No Threat</w:t>
            </w:r>
          </w:p>
        </w:tc>
      </w:tr>
      <w:tr w:rsidR="00C25972" w:rsidRPr="00C25972" w14:paraId="55F5288C" w14:textId="77777777" w:rsidTr="00C25972">
        <w:trPr>
          <w:trHeight w:val="300"/>
        </w:trPr>
        <w:tc>
          <w:tcPr>
            <w:tcW w:w="2500" w:type="dxa"/>
            <w:tcBorders>
              <w:top w:val="nil"/>
              <w:left w:val="single" w:sz="8" w:space="0" w:color="auto"/>
              <w:bottom w:val="nil"/>
              <w:right w:val="single" w:sz="8" w:space="0" w:color="auto"/>
            </w:tcBorders>
            <w:shd w:val="clear" w:color="000000" w:fill="F2F2F2"/>
            <w:noWrap/>
            <w:vAlign w:val="bottom"/>
            <w:hideMark/>
          </w:tcPr>
          <w:p w14:paraId="09CE254E"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 </w:t>
            </w:r>
          </w:p>
        </w:tc>
        <w:tc>
          <w:tcPr>
            <w:tcW w:w="1560" w:type="dxa"/>
            <w:tcBorders>
              <w:top w:val="nil"/>
              <w:left w:val="nil"/>
              <w:bottom w:val="nil"/>
              <w:right w:val="single" w:sz="8" w:space="0" w:color="auto"/>
            </w:tcBorders>
            <w:shd w:val="clear" w:color="000000" w:fill="FFC000"/>
            <w:noWrap/>
            <w:vAlign w:val="bottom"/>
            <w:hideMark/>
          </w:tcPr>
          <w:p w14:paraId="4479DC88"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Never occurs</w:t>
            </w:r>
          </w:p>
        </w:tc>
        <w:tc>
          <w:tcPr>
            <w:tcW w:w="1600" w:type="dxa"/>
            <w:tcBorders>
              <w:top w:val="nil"/>
              <w:left w:val="nil"/>
              <w:bottom w:val="nil"/>
              <w:right w:val="single" w:sz="8" w:space="0" w:color="auto"/>
            </w:tcBorders>
            <w:shd w:val="clear" w:color="000000" w:fill="FFC000"/>
            <w:noWrap/>
            <w:vAlign w:val="bottom"/>
            <w:hideMark/>
          </w:tcPr>
          <w:p w14:paraId="120E13EB"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Never occurs</w:t>
            </w:r>
          </w:p>
        </w:tc>
        <w:tc>
          <w:tcPr>
            <w:tcW w:w="1620" w:type="dxa"/>
            <w:tcBorders>
              <w:top w:val="nil"/>
              <w:left w:val="nil"/>
              <w:bottom w:val="nil"/>
              <w:right w:val="single" w:sz="8" w:space="0" w:color="auto"/>
            </w:tcBorders>
            <w:shd w:val="clear" w:color="000000" w:fill="FFC000"/>
            <w:noWrap/>
            <w:vAlign w:val="bottom"/>
            <w:hideMark/>
          </w:tcPr>
          <w:p w14:paraId="411ECEED"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Never occurs</w:t>
            </w:r>
          </w:p>
        </w:tc>
      </w:tr>
      <w:tr w:rsidR="00C25972" w:rsidRPr="00C25972" w14:paraId="43E9906A" w14:textId="77777777" w:rsidTr="00C25972">
        <w:trPr>
          <w:trHeight w:val="300"/>
        </w:trPr>
        <w:tc>
          <w:tcPr>
            <w:tcW w:w="2500" w:type="dxa"/>
            <w:tcBorders>
              <w:top w:val="nil"/>
              <w:left w:val="single" w:sz="8" w:space="0" w:color="auto"/>
              <w:bottom w:val="nil"/>
              <w:right w:val="single" w:sz="8" w:space="0" w:color="auto"/>
            </w:tcBorders>
            <w:shd w:val="clear" w:color="000000" w:fill="F2F2F2"/>
            <w:noWrap/>
            <w:vAlign w:val="bottom"/>
            <w:hideMark/>
          </w:tcPr>
          <w:p w14:paraId="39216385"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 </w:t>
            </w:r>
          </w:p>
        </w:tc>
        <w:tc>
          <w:tcPr>
            <w:tcW w:w="1560" w:type="dxa"/>
            <w:tcBorders>
              <w:top w:val="nil"/>
              <w:left w:val="nil"/>
              <w:bottom w:val="nil"/>
              <w:right w:val="single" w:sz="8" w:space="0" w:color="auto"/>
            </w:tcBorders>
            <w:shd w:val="clear" w:color="000000" w:fill="92D050"/>
            <w:noWrap/>
            <w:vAlign w:val="bottom"/>
            <w:hideMark/>
          </w:tcPr>
          <w:p w14:paraId="50F3A4EE"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Low Resistance</w:t>
            </w:r>
          </w:p>
        </w:tc>
        <w:tc>
          <w:tcPr>
            <w:tcW w:w="1600" w:type="dxa"/>
            <w:tcBorders>
              <w:top w:val="nil"/>
              <w:left w:val="nil"/>
              <w:bottom w:val="nil"/>
              <w:right w:val="single" w:sz="8" w:space="0" w:color="auto"/>
            </w:tcBorders>
            <w:shd w:val="clear" w:color="000000" w:fill="92D050"/>
            <w:noWrap/>
            <w:vAlign w:val="bottom"/>
            <w:hideMark/>
          </w:tcPr>
          <w:p w14:paraId="2E0B2078"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Low Resistance</w:t>
            </w:r>
          </w:p>
        </w:tc>
        <w:tc>
          <w:tcPr>
            <w:tcW w:w="1620" w:type="dxa"/>
            <w:tcBorders>
              <w:top w:val="nil"/>
              <w:left w:val="nil"/>
              <w:bottom w:val="nil"/>
              <w:right w:val="single" w:sz="8" w:space="0" w:color="auto"/>
            </w:tcBorders>
            <w:shd w:val="clear" w:color="000000" w:fill="92D050"/>
            <w:noWrap/>
            <w:vAlign w:val="bottom"/>
            <w:hideMark/>
          </w:tcPr>
          <w:p w14:paraId="7BE9658B"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Low Resistance</w:t>
            </w:r>
          </w:p>
        </w:tc>
      </w:tr>
      <w:tr w:rsidR="00C25972" w:rsidRPr="00C25972" w14:paraId="7E858F56" w14:textId="77777777" w:rsidTr="00C25972">
        <w:trPr>
          <w:trHeight w:val="315"/>
        </w:trPr>
        <w:tc>
          <w:tcPr>
            <w:tcW w:w="2500" w:type="dxa"/>
            <w:tcBorders>
              <w:top w:val="nil"/>
              <w:left w:val="single" w:sz="8" w:space="0" w:color="auto"/>
              <w:bottom w:val="single" w:sz="8" w:space="0" w:color="auto"/>
              <w:right w:val="single" w:sz="8" w:space="0" w:color="auto"/>
            </w:tcBorders>
            <w:shd w:val="clear" w:color="000000" w:fill="F2F2F2"/>
            <w:noWrap/>
            <w:vAlign w:val="bottom"/>
            <w:hideMark/>
          </w:tcPr>
          <w:p w14:paraId="72560334" w14:textId="6998E6F1"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C</w:t>
            </w:r>
            <w:r w:rsidR="005B31B0" w:rsidRPr="00C25972">
              <w:rPr>
                <w:rFonts w:ascii="Calibri" w:hAnsi="Calibri"/>
              </w:rPr>
              <w:t>RITERIA</w:t>
            </w:r>
            <w:r w:rsidRPr="00C25972">
              <w:rPr>
                <w:rFonts w:ascii="Calibri" w:hAnsi="Calibri"/>
              </w:rPr>
              <w:t>↓</w:t>
            </w:r>
          </w:p>
        </w:tc>
        <w:tc>
          <w:tcPr>
            <w:tcW w:w="1560" w:type="dxa"/>
            <w:tcBorders>
              <w:top w:val="nil"/>
              <w:left w:val="nil"/>
              <w:bottom w:val="single" w:sz="8" w:space="0" w:color="auto"/>
              <w:right w:val="single" w:sz="8" w:space="0" w:color="auto"/>
            </w:tcBorders>
            <w:shd w:val="clear" w:color="auto" w:fill="auto"/>
            <w:noWrap/>
            <w:vAlign w:val="bottom"/>
            <w:hideMark/>
          </w:tcPr>
          <w:p w14:paraId="68C5D3C8"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No Impact</w:t>
            </w:r>
          </w:p>
        </w:tc>
        <w:tc>
          <w:tcPr>
            <w:tcW w:w="1600" w:type="dxa"/>
            <w:tcBorders>
              <w:top w:val="nil"/>
              <w:left w:val="nil"/>
              <w:bottom w:val="single" w:sz="8" w:space="0" w:color="auto"/>
              <w:right w:val="single" w:sz="8" w:space="0" w:color="auto"/>
            </w:tcBorders>
            <w:shd w:val="clear" w:color="auto" w:fill="auto"/>
            <w:noWrap/>
            <w:vAlign w:val="bottom"/>
            <w:hideMark/>
          </w:tcPr>
          <w:p w14:paraId="085A7D18"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 xml:space="preserve">LT 1 </w:t>
            </w:r>
            <w:proofErr w:type="spellStart"/>
            <w:r w:rsidRPr="00C25972">
              <w:rPr>
                <w:rFonts w:ascii="Calibri" w:hAnsi="Calibri"/>
              </w:rPr>
              <w:t>yr</w:t>
            </w:r>
            <w:proofErr w:type="spellEnd"/>
          </w:p>
        </w:tc>
        <w:tc>
          <w:tcPr>
            <w:tcW w:w="1620" w:type="dxa"/>
            <w:tcBorders>
              <w:top w:val="nil"/>
              <w:left w:val="nil"/>
              <w:bottom w:val="single" w:sz="8" w:space="0" w:color="auto"/>
              <w:right w:val="single" w:sz="8" w:space="0" w:color="auto"/>
            </w:tcBorders>
            <w:shd w:val="clear" w:color="auto" w:fill="auto"/>
            <w:noWrap/>
            <w:vAlign w:val="bottom"/>
            <w:hideMark/>
          </w:tcPr>
          <w:p w14:paraId="127DC89B"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 xml:space="preserve">1 - 10 </w:t>
            </w:r>
            <w:proofErr w:type="spellStart"/>
            <w:r w:rsidRPr="00C25972">
              <w:rPr>
                <w:rFonts w:ascii="Calibri" w:hAnsi="Calibri"/>
              </w:rPr>
              <w:t>yrs</w:t>
            </w:r>
            <w:proofErr w:type="spellEnd"/>
          </w:p>
        </w:tc>
      </w:tr>
      <w:tr w:rsidR="00C25972" w:rsidRPr="00C25972" w14:paraId="1E4AC236" w14:textId="77777777" w:rsidTr="00C25972">
        <w:trPr>
          <w:trHeight w:val="300"/>
        </w:trPr>
        <w:tc>
          <w:tcPr>
            <w:tcW w:w="2500" w:type="dxa"/>
            <w:tcBorders>
              <w:top w:val="nil"/>
              <w:left w:val="single" w:sz="8" w:space="0" w:color="auto"/>
              <w:bottom w:val="nil"/>
              <w:right w:val="single" w:sz="8" w:space="0" w:color="auto"/>
            </w:tcBorders>
            <w:shd w:val="clear" w:color="000000" w:fill="7030A0"/>
            <w:noWrap/>
            <w:vAlign w:val="bottom"/>
            <w:hideMark/>
          </w:tcPr>
          <w:p w14:paraId="64D8DCD0" w14:textId="77777777" w:rsidR="00C25972" w:rsidRPr="00C25972" w:rsidRDefault="00C25972" w:rsidP="00AF1018">
            <w:pPr>
              <w:keepNext/>
              <w:keepLines/>
              <w:autoSpaceDE/>
              <w:autoSpaceDN/>
              <w:adjustRightInd/>
              <w:spacing w:before="0" w:after="0" w:line="240" w:lineRule="auto"/>
              <w:rPr>
                <w:rFonts w:ascii="Calibri" w:hAnsi="Calibri"/>
                <w:b/>
                <w:bCs/>
                <w:color w:val="FFFF00"/>
              </w:rPr>
            </w:pPr>
            <w:r w:rsidRPr="00C25972">
              <w:rPr>
                <w:rFonts w:ascii="Calibri" w:hAnsi="Calibri"/>
                <w:b/>
                <w:bCs/>
                <w:color w:val="FFFF00"/>
              </w:rPr>
              <w:t>Functional Impact</w:t>
            </w:r>
          </w:p>
        </w:tc>
        <w:tc>
          <w:tcPr>
            <w:tcW w:w="1560" w:type="dxa"/>
            <w:tcBorders>
              <w:top w:val="nil"/>
              <w:left w:val="nil"/>
              <w:bottom w:val="nil"/>
              <w:right w:val="nil"/>
            </w:tcBorders>
            <w:shd w:val="clear" w:color="000000" w:fill="63BE7B"/>
            <w:noWrap/>
            <w:vAlign w:val="bottom"/>
            <w:hideMark/>
          </w:tcPr>
          <w:p w14:paraId="6E9BFA17"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c>
          <w:tcPr>
            <w:tcW w:w="1600" w:type="dxa"/>
            <w:tcBorders>
              <w:top w:val="nil"/>
              <w:left w:val="nil"/>
              <w:bottom w:val="nil"/>
              <w:right w:val="nil"/>
            </w:tcBorders>
            <w:shd w:val="clear" w:color="000000" w:fill="63BE7B"/>
            <w:noWrap/>
            <w:vAlign w:val="bottom"/>
            <w:hideMark/>
          </w:tcPr>
          <w:p w14:paraId="70D63F16"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c>
          <w:tcPr>
            <w:tcW w:w="1620" w:type="dxa"/>
            <w:tcBorders>
              <w:top w:val="nil"/>
              <w:left w:val="nil"/>
              <w:bottom w:val="nil"/>
              <w:right w:val="nil"/>
            </w:tcBorders>
            <w:shd w:val="clear" w:color="000000" w:fill="63BE7B"/>
            <w:noWrap/>
            <w:vAlign w:val="bottom"/>
            <w:hideMark/>
          </w:tcPr>
          <w:p w14:paraId="663F1D0F"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r>
      <w:tr w:rsidR="00C25972" w:rsidRPr="00C25972" w14:paraId="4A19E1BB" w14:textId="77777777" w:rsidTr="00C25972">
        <w:trPr>
          <w:trHeight w:val="300"/>
        </w:trPr>
        <w:tc>
          <w:tcPr>
            <w:tcW w:w="2500" w:type="dxa"/>
            <w:tcBorders>
              <w:top w:val="nil"/>
              <w:left w:val="single" w:sz="8" w:space="0" w:color="auto"/>
              <w:bottom w:val="nil"/>
              <w:right w:val="single" w:sz="8" w:space="0" w:color="auto"/>
            </w:tcBorders>
            <w:shd w:val="clear" w:color="000000" w:fill="00B0F0"/>
            <w:noWrap/>
            <w:vAlign w:val="bottom"/>
            <w:hideMark/>
          </w:tcPr>
          <w:p w14:paraId="35094B76" w14:textId="77777777" w:rsidR="00C25972" w:rsidRPr="00C25972" w:rsidRDefault="00C25972" w:rsidP="00AF1018">
            <w:pPr>
              <w:keepNext/>
              <w:keepLines/>
              <w:autoSpaceDE/>
              <w:autoSpaceDN/>
              <w:adjustRightInd/>
              <w:spacing w:before="0" w:after="0" w:line="240" w:lineRule="auto"/>
              <w:rPr>
                <w:rFonts w:ascii="Calibri" w:hAnsi="Calibri"/>
                <w:b/>
                <w:bCs/>
              </w:rPr>
            </w:pPr>
            <w:r w:rsidRPr="00C25972">
              <w:rPr>
                <w:rFonts w:ascii="Calibri" w:hAnsi="Calibri"/>
                <w:b/>
                <w:bCs/>
              </w:rPr>
              <w:t>Scale of Impact</w:t>
            </w:r>
          </w:p>
        </w:tc>
        <w:tc>
          <w:tcPr>
            <w:tcW w:w="1560" w:type="dxa"/>
            <w:tcBorders>
              <w:top w:val="nil"/>
              <w:left w:val="nil"/>
              <w:bottom w:val="nil"/>
              <w:right w:val="nil"/>
            </w:tcBorders>
            <w:shd w:val="clear" w:color="000000" w:fill="63BE7B"/>
            <w:noWrap/>
            <w:vAlign w:val="bottom"/>
            <w:hideMark/>
          </w:tcPr>
          <w:p w14:paraId="40A0D066"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c>
          <w:tcPr>
            <w:tcW w:w="1600" w:type="dxa"/>
            <w:tcBorders>
              <w:top w:val="nil"/>
              <w:left w:val="nil"/>
              <w:bottom w:val="nil"/>
              <w:right w:val="nil"/>
            </w:tcBorders>
            <w:shd w:val="clear" w:color="000000" w:fill="63BE7B"/>
            <w:noWrap/>
            <w:vAlign w:val="bottom"/>
            <w:hideMark/>
          </w:tcPr>
          <w:p w14:paraId="7467AD6C"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c>
          <w:tcPr>
            <w:tcW w:w="1620" w:type="dxa"/>
            <w:tcBorders>
              <w:top w:val="nil"/>
              <w:left w:val="nil"/>
              <w:bottom w:val="nil"/>
              <w:right w:val="nil"/>
            </w:tcBorders>
            <w:shd w:val="clear" w:color="000000" w:fill="63BE7B"/>
            <w:noWrap/>
            <w:vAlign w:val="bottom"/>
            <w:hideMark/>
          </w:tcPr>
          <w:p w14:paraId="4874F64E"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r>
      <w:tr w:rsidR="00C25972" w:rsidRPr="00C25972" w14:paraId="671478B5" w14:textId="77777777" w:rsidTr="00C25972">
        <w:trPr>
          <w:trHeight w:val="300"/>
        </w:trPr>
        <w:tc>
          <w:tcPr>
            <w:tcW w:w="2500" w:type="dxa"/>
            <w:tcBorders>
              <w:top w:val="nil"/>
              <w:left w:val="single" w:sz="8" w:space="0" w:color="auto"/>
              <w:bottom w:val="nil"/>
              <w:right w:val="single" w:sz="8" w:space="0" w:color="auto"/>
            </w:tcBorders>
            <w:shd w:val="clear" w:color="000000" w:fill="FFC000"/>
            <w:noWrap/>
            <w:vAlign w:val="bottom"/>
            <w:hideMark/>
          </w:tcPr>
          <w:p w14:paraId="5DF5A324" w14:textId="77777777" w:rsidR="00C25972" w:rsidRPr="00C25972" w:rsidRDefault="00C25972" w:rsidP="00AF1018">
            <w:pPr>
              <w:keepNext/>
              <w:keepLines/>
              <w:autoSpaceDE/>
              <w:autoSpaceDN/>
              <w:adjustRightInd/>
              <w:spacing w:before="0" w:after="0" w:line="240" w:lineRule="auto"/>
              <w:rPr>
                <w:rFonts w:ascii="Calibri" w:hAnsi="Calibri"/>
                <w:b/>
                <w:bCs/>
              </w:rPr>
            </w:pPr>
            <w:r w:rsidRPr="00C25972">
              <w:rPr>
                <w:rFonts w:ascii="Calibri" w:hAnsi="Calibri"/>
                <w:b/>
                <w:bCs/>
              </w:rPr>
              <w:t>Frequency</w:t>
            </w:r>
          </w:p>
        </w:tc>
        <w:tc>
          <w:tcPr>
            <w:tcW w:w="1560" w:type="dxa"/>
            <w:tcBorders>
              <w:top w:val="nil"/>
              <w:left w:val="nil"/>
              <w:bottom w:val="nil"/>
              <w:right w:val="nil"/>
            </w:tcBorders>
            <w:shd w:val="clear" w:color="000000" w:fill="63BE7B"/>
            <w:noWrap/>
            <w:vAlign w:val="bottom"/>
            <w:hideMark/>
          </w:tcPr>
          <w:p w14:paraId="33807E9C"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c>
          <w:tcPr>
            <w:tcW w:w="1600" w:type="dxa"/>
            <w:tcBorders>
              <w:top w:val="nil"/>
              <w:left w:val="nil"/>
              <w:bottom w:val="nil"/>
              <w:right w:val="nil"/>
            </w:tcBorders>
            <w:shd w:val="clear" w:color="000000" w:fill="63BE7B"/>
            <w:noWrap/>
            <w:vAlign w:val="bottom"/>
            <w:hideMark/>
          </w:tcPr>
          <w:p w14:paraId="6385FB0A"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c>
          <w:tcPr>
            <w:tcW w:w="1620" w:type="dxa"/>
            <w:tcBorders>
              <w:top w:val="nil"/>
              <w:left w:val="nil"/>
              <w:bottom w:val="nil"/>
              <w:right w:val="nil"/>
            </w:tcBorders>
            <w:shd w:val="clear" w:color="000000" w:fill="63BE7B"/>
            <w:noWrap/>
            <w:vAlign w:val="bottom"/>
            <w:hideMark/>
          </w:tcPr>
          <w:p w14:paraId="25FC9CB4"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r>
      <w:tr w:rsidR="00C25972" w:rsidRPr="00C25972" w14:paraId="331E613B" w14:textId="77777777" w:rsidTr="00C25972">
        <w:trPr>
          <w:trHeight w:val="300"/>
        </w:trPr>
        <w:tc>
          <w:tcPr>
            <w:tcW w:w="2500" w:type="dxa"/>
            <w:tcBorders>
              <w:top w:val="nil"/>
              <w:left w:val="single" w:sz="8" w:space="0" w:color="auto"/>
              <w:bottom w:val="nil"/>
              <w:right w:val="single" w:sz="8" w:space="0" w:color="auto"/>
            </w:tcBorders>
            <w:shd w:val="clear" w:color="000000" w:fill="92D050"/>
            <w:noWrap/>
            <w:vAlign w:val="bottom"/>
            <w:hideMark/>
          </w:tcPr>
          <w:p w14:paraId="1767B75C" w14:textId="77777777" w:rsidR="00C25972" w:rsidRPr="00C25972" w:rsidRDefault="00C25972" w:rsidP="00AF1018">
            <w:pPr>
              <w:keepNext/>
              <w:keepLines/>
              <w:autoSpaceDE/>
              <w:autoSpaceDN/>
              <w:adjustRightInd/>
              <w:spacing w:before="0" w:after="0" w:line="240" w:lineRule="auto"/>
              <w:rPr>
                <w:rFonts w:ascii="Calibri" w:hAnsi="Calibri"/>
                <w:b/>
                <w:bCs/>
              </w:rPr>
            </w:pPr>
            <w:r w:rsidRPr="00C25972">
              <w:rPr>
                <w:rFonts w:ascii="Calibri" w:hAnsi="Calibri"/>
                <w:b/>
                <w:bCs/>
              </w:rPr>
              <w:t>Resistance</w:t>
            </w:r>
          </w:p>
        </w:tc>
        <w:tc>
          <w:tcPr>
            <w:tcW w:w="1560" w:type="dxa"/>
            <w:tcBorders>
              <w:top w:val="nil"/>
              <w:left w:val="nil"/>
              <w:bottom w:val="nil"/>
              <w:right w:val="nil"/>
            </w:tcBorders>
            <w:shd w:val="clear" w:color="000000" w:fill="F8696B"/>
            <w:noWrap/>
            <w:vAlign w:val="bottom"/>
            <w:hideMark/>
          </w:tcPr>
          <w:p w14:paraId="00F204B7"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w:t>
            </w:r>
          </w:p>
        </w:tc>
        <w:tc>
          <w:tcPr>
            <w:tcW w:w="1600" w:type="dxa"/>
            <w:tcBorders>
              <w:top w:val="nil"/>
              <w:left w:val="nil"/>
              <w:bottom w:val="nil"/>
              <w:right w:val="nil"/>
            </w:tcBorders>
            <w:shd w:val="clear" w:color="000000" w:fill="F8696B"/>
            <w:noWrap/>
            <w:vAlign w:val="bottom"/>
            <w:hideMark/>
          </w:tcPr>
          <w:p w14:paraId="5FAB8E1C"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w:t>
            </w:r>
          </w:p>
        </w:tc>
        <w:tc>
          <w:tcPr>
            <w:tcW w:w="1620" w:type="dxa"/>
            <w:tcBorders>
              <w:top w:val="nil"/>
              <w:left w:val="nil"/>
              <w:bottom w:val="nil"/>
              <w:right w:val="nil"/>
            </w:tcBorders>
            <w:shd w:val="clear" w:color="000000" w:fill="F8696B"/>
            <w:noWrap/>
            <w:vAlign w:val="bottom"/>
            <w:hideMark/>
          </w:tcPr>
          <w:p w14:paraId="5377B9C3"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w:t>
            </w:r>
          </w:p>
        </w:tc>
      </w:tr>
      <w:tr w:rsidR="00C25972" w:rsidRPr="00C25972" w14:paraId="43833830" w14:textId="77777777" w:rsidTr="00C25972">
        <w:trPr>
          <w:trHeight w:val="315"/>
        </w:trPr>
        <w:tc>
          <w:tcPr>
            <w:tcW w:w="2500" w:type="dxa"/>
            <w:tcBorders>
              <w:top w:val="nil"/>
              <w:left w:val="single" w:sz="8" w:space="0" w:color="auto"/>
              <w:bottom w:val="single" w:sz="8" w:space="0" w:color="auto"/>
              <w:right w:val="single" w:sz="8" w:space="0" w:color="auto"/>
            </w:tcBorders>
            <w:shd w:val="clear" w:color="000000" w:fill="FFFF00"/>
            <w:noWrap/>
            <w:vAlign w:val="bottom"/>
            <w:hideMark/>
          </w:tcPr>
          <w:p w14:paraId="2F84E3C9" w14:textId="77777777" w:rsidR="00C25972" w:rsidRPr="00C25972" w:rsidRDefault="00C25972" w:rsidP="00AF1018">
            <w:pPr>
              <w:keepNext/>
              <w:keepLines/>
              <w:autoSpaceDE/>
              <w:autoSpaceDN/>
              <w:adjustRightInd/>
              <w:spacing w:before="0" w:after="0" w:line="240" w:lineRule="auto"/>
              <w:rPr>
                <w:rFonts w:ascii="Calibri" w:hAnsi="Calibri"/>
                <w:b/>
                <w:bCs/>
              </w:rPr>
            </w:pPr>
            <w:r w:rsidRPr="00C25972">
              <w:rPr>
                <w:rFonts w:ascii="Calibri" w:hAnsi="Calibri"/>
                <w:b/>
                <w:bCs/>
              </w:rPr>
              <w:t>Recovery Time</w:t>
            </w:r>
          </w:p>
        </w:tc>
        <w:tc>
          <w:tcPr>
            <w:tcW w:w="1560" w:type="dxa"/>
            <w:tcBorders>
              <w:top w:val="nil"/>
              <w:left w:val="nil"/>
              <w:bottom w:val="nil"/>
              <w:right w:val="nil"/>
            </w:tcBorders>
            <w:shd w:val="clear" w:color="000000" w:fill="63BE7B"/>
            <w:noWrap/>
            <w:vAlign w:val="bottom"/>
            <w:hideMark/>
          </w:tcPr>
          <w:p w14:paraId="18235736"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1</w:t>
            </w:r>
          </w:p>
        </w:tc>
        <w:tc>
          <w:tcPr>
            <w:tcW w:w="1600" w:type="dxa"/>
            <w:tcBorders>
              <w:top w:val="nil"/>
              <w:left w:val="nil"/>
              <w:bottom w:val="nil"/>
              <w:right w:val="nil"/>
            </w:tcBorders>
            <w:shd w:val="clear" w:color="000000" w:fill="FEE382"/>
            <w:noWrap/>
            <w:vAlign w:val="bottom"/>
            <w:hideMark/>
          </w:tcPr>
          <w:p w14:paraId="1ED56725"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0.94</w:t>
            </w:r>
          </w:p>
        </w:tc>
        <w:tc>
          <w:tcPr>
            <w:tcW w:w="1620" w:type="dxa"/>
            <w:tcBorders>
              <w:top w:val="nil"/>
              <w:left w:val="nil"/>
              <w:bottom w:val="nil"/>
              <w:right w:val="nil"/>
            </w:tcBorders>
            <w:shd w:val="clear" w:color="000000" w:fill="FDCF7E"/>
            <w:noWrap/>
            <w:vAlign w:val="bottom"/>
            <w:hideMark/>
          </w:tcPr>
          <w:p w14:paraId="7BE2B694"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0.79</w:t>
            </w:r>
          </w:p>
        </w:tc>
      </w:tr>
      <w:tr w:rsidR="00C25972" w:rsidRPr="00C25972" w14:paraId="416F41AB" w14:textId="77777777" w:rsidTr="00C25972">
        <w:trPr>
          <w:trHeight w:val="300"/>
        </w:trPr>
        <w:tc>
          <w:tcPr>
            <w:tcW w:w="2500" w:type="dxa"/>
            <w:tcBorders>
              <w:top w:val="nil"/>
              <w:left w:val="single" w:sz="8" w:space="0" w:color="auto"/>
              <w:bottom w:val="nil"/>
              <w:right w:val="single" w:sz="8" w:space="0" w:color="auto"/>
            </w:tcBorders>
            <w:shd w:val="clear" w:color="000000" w:fill="8DB4E2"/>
            <w:noWrap/>
            <w:vAlign w:val="bottom"/>
            <w:hideMark/>
          </w:tcPr>
          <w:p w14:paraId="1C0F5CFC"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Linear additive score</w:t>
            </w:r>
          </w:p>
        </w:tc>
        <w:tc>
          <w:tcPr>
            <w:tcW w:w="1560" w:type="dxa"/>
            <w:tcBorders>
              <w:top w:val="single" w:sz="8" w:space="0" w:color="auto"/>
              <w:left w:val="nil"/>
              <w:bottom w:val="nil"/>
              <w:right w:val="nil"/>
            </w:tcBorders>
            <w:shd w:val="clear" w:color="000000" w:fill="D9D9D9"/>
            <w:noWrap/>
            <w:vAlign w:val="bottom"/>
            <w:hideMark/>
          </w:tcPr>
          <w:p w14:paraId="146EF755"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0.8</w:t>
            </w:r>
          </w:p>
        </w:tc>
        <w:tc>
          <w:tcPr>
            <w:tcW w:w="1600" w:type="dxa"/>
            <w:tcBorders>
              <w:top w:val="single" w:sz="8" w:space="0" w:color="auto"/>
              <w:left w:val="nil"/>
              <w:bottom w:val="nil"/>
              <w:right w:val="nil"/>
            </w:tcBorders>
            <w:shd w:val="clear" w:color="000000" w:fill="D9D9D9"/>
            <w:noWrap/>
            <w:vAlign w:val="bottom"/>
            <w:hideMark/>
          </w:tcPr>
          <w:p w14:paraId="00132BCF"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0.788</w:t>
            </w:r>
          </w:p>
        </w:tc>
        <w:tc>
          <w:tcPr>
            <w:tcW w:w="1620" w:type="dxa"/>
            <w:tcBorders>
              <w:top w:val="single" w:sz="8" w:space="0" w:color="auto"/>
              <w:left w:val="nil"/>
              <w:bottom w:val="nil"/>
              <w:right w:val="single" w:sz="8" w:space="0" w:color="auto"/>
            </w:tcBorders>
            <w:shd w:val="clear" w:color="000000" w:fill="D9D9D9"/>
            <w:noWrap/>
            <w:vAlign w:val="bottom"/>
            <w:hideMark/>
          </w:tcPr>
          <w:p w14:paraId="7A8452F4"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0.758</w:t>
            </w:r>
          </w:p>
        </w:tc>
      </w:tr>
      <w:tr w:rsidR="00C25972" w:rsidRPr="00C25972" w14:paraId="05BBD2F0" w14:textId="77777777" w:rsidTr="00C25972">
        <w:trPr>
          <w:trHeight w:val="300"/>
        </w:trPr>
        <w:tc>
          <w:tcPr>
            <w:tcW w:w="2500" w:type="dxa"/>
            <w:tcBorders>
              <w:top w:val="nil"/>
              <w:left w:val="single" w:sz="8" w:space="0" w:color="auto"/>
              <w:bottom w:val="nil"/>
              <w:right w:val="single" w:sz="8" w:space="0" w:color="auto"/>
            </w:tcBorders>
            <w:shd w:val="clear" w:color="000000" w:fill="8DB4E2"/>
            <w:noWrap/>
            <w:vAlign w:val="bottom"/>
            <w:hideMark/>
          </w:tcPr>
          <w:p w14:paraId="64371B4E"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Exceptions</w:t>
            </w:r>
          </w:p>
        </w:tc>
        <w:tc>
          <w:tcPr>
            <w:tcW w:w="1560" w:type="dxa"/>
            <w:tcBorders>
              <w:top w:val="nil"/>
              <w:left w:val="nil"/>
              <w:bottom w:val="nil"/>
              <w:right w:val="nil"/>
            </w:tcBorders>
            <w:shd w:val="clear" w:color="000000" w:fill="D9D9D9"/>
            <w:noWrap/>
            <w:vAlign w:val="bottom"/>
            <w:hideMark/>
          </w:tcPr>
          <w:p w14:paraId="311F658A"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-0.5</w:t>
            </w:r>
          </w:p>
        </w:tc>
        <w:tc>
          <w:tcPr>
            <w:tcW w:w="1600" w:type="dxa"/>
            <w:tcBorders>
              <w:top w:val="nil"/>
              <w:left w:val="nil"/>
              <w:bottom w:val="nil"/>
              <w:right w:val="nil"/>
            </w:tcBorders>
            <w:shd w:val="clear" w:color="000000" w:fill="D9D9D9"/>
            <w:noWrap/>
            <w:vAlign w:val="bottom"/>
            <w:hideMark/>
          </w:tcPr>
          <w:p w14:paraId="1C872FAF"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-0.5</w:t>
            </w:r>
          </w:p>
        </w:tc>
        <w:tc>
          <w:tcPr>
            <w:tcW w:w="1620" w:type="dxa"/>
            <w:tcBorders>
              <w:top w:val="nil"/>
              <w:left w:val="nil"/>
              <w:bottom w:val="nil"/>
              <w:right w:val="single" w:sz="8" w:space="0" w:color="auto"/>
            </w:tcBorders>
            <w:shd w:val="clear" w:color="000000" w:fill="D9D9D9"/>
            <w:noWrap/>
            <w:vAlign w:val="bottom"/>
            <w:hideMark/>
          </w:tcPr>
          <w:p w14:paraId="093D0A2B"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-0.5</w:t>
            </w:r>
          </w:p>
        </w:tc>
      </w:tr>
      <w:tr w:rsidR="00C25972" w:rsidRPr="00C25972" w14:paraId="6D84EE70" w14:textId="77777777" w:rsidTr="00C25972">
        <w:trPr>
          <w:trHeight w:val="315"/>
        </w:trPr>
        <w:tc>
          <w:tcPr>
            <w:tcW w:w="2500" w:type="dxa"/>
            <w:tcBorders>
              <w:top w:val="nil"/>
              <w:left w:val="single" w:sz="8" w:space="0" w:color="auto"/>
              <w:bottom w:val="single" w:sz="8" w:space="0" w:color="auto"/>
              <w:right w:val="single" w:sz="8" w:space="0" w:color="auto"/>
            </w:tcBorders>
            <w:shd w:val="clear" w:color="000000" w:fill="8DB4E2"/>
            <w:noWrap/>
            <w:vAlign w:val="bottom"/>
            <w:hideMark/>
          </w:tcPr>
          <w:p w14:paraId="11980753" w14:textId="77777777" w:rsidR="00C25972" w:rsidRPr="00C25972" w:rsidRDefault="00C25972" w:rsidP="00AF1018">
            <w:pPr>
              <w:keepNext/>
              <w:keepLines/>
              <w:autoSpaceDE/>
              <w:autoSpaceDN/>
              <w:adjustRightInd/>
              <w:spacing w:before="0" w:after="0" w:line="240" w:lineRule="auto"/>
              <w:rPr>
                <w:rFonts w:ascii="Calibri" w:hAnsi="Calibri"/>
              </w:rPr>
            </w:pPr>
            <w:r w:rsidRPr="00C25972">
              <w:rPr>
                <w:rFonts w:ascii="Calibri" w:hAnsi="Calibri"/>
              </w:rPr>
              <w:t>Adjusted score</w:t>
            </w:r>
          </w:p>
        </w:tc>
        <w:tc>
          <w:tcPr>
            <w:tcW w:w="1560" w:type="dxa"/>
            <w:tcBorders>
              <w:top w:val="nil"/>
              <w:left w:val="nil"/>
              <w:bottom w:val="single" w:sz="8" w:space="0" w:color="auto"/>
              <w:right w:val="nil"/>
            </w:tcBorders>
            <w:shd w:val="clear" w:color="000000" w:fill="D9D9D9"/>
            <w:noWrap/>
            <w:vAlign w:val="bottom"/>
            <w:hideMark/>
          </w:tcPr>
          <w:p w14:paraId="105DAF3B"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0.3</w:t>
            </w:r>
          </w:p>
        </w:tc>
        <w:tc>
          <w:tcPr>
            <w:tcW w:w="1600" w:type="dxa"/>
            <w:tcBorders>
              <w:top w:val="nil"/>
              <w:left w:val="nil"/>
              <w:bottom w:val="single" w:sz="8" w:space="0" w:color="auto"/>
              <w:right w:val="nil"/>
            </w:tcBorders>
            <w:shd w:val="clear" w:color="000000" w:fill="D9D9D9"/>
            <w:noWrap/>
            <w:vAlign w:val="bottom"/>
            <w:hideMark/>
          </w:tcPr>
          <w:p w14:paraId="7518271F"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0.288</w:t>
            </w:r>
          </w:p>
        </w:tc>
        <w:tc>
          <w:tcPr>
            <w:tcW w:w="1620" w:type="dxa"/>
            <w:tcBorders>
              <w:top w:val="nil"/>
              <w:left w:val="nil"/>
              <w:bottom w:val="single" w:sz="8" w:space="0" w:color="auto"/>
              <w:right w:val="single" w:sz="8" w:space="0" w:color="auto"/>
            </w:tcBorders>
            <w:shd w:val="clear" w:color="000000" w:fill="D9D9D9"/>
            <w:noWrap/>
            <w:vAlign w:val="bottom"/>
            <w:hideMark/>
          </w:tcPr>
          <w:p w14:paraId="3AA1D569" w14:textId="77777777" w:rsidR="00C25972" w:rsidRPr="00C25972" w:rsidRDefault="00C25972" w:rsidP="00AF1018">
            <w:pPr>
              <w:keepNext/>
              <w:keepLines/>
              <w:autoSpaceDE/>
              <w:autoSpaceDN/>
              <w:adjustRightInd/>
              <w:spacing w:before="0" w:after="0" w:line="240" w:lineRule="auto"/>
              <w:jc w:val="right"/>
              <w:rPr>
                <w:rFonts w:ascii="Calibri" w:hAnsi="Calibri"/>
              </w:rPr>
            </w:pPr>
            <w:r w:rsidRPr="00C25972">
              <w:rPr>
                <w:rFonts w:ascii="Calibri" w:hAnsi="Calibri"/>
              </w:rPr>
              <w:t>0.258</w:t>
            </w:r>
          </w:p>
        </w:tc>
      </w:tr>
    </w:tbl>
    <w:p w14:paraId="744BAF36" w14:textId="77777777" w:rsidR="00C25972" w:rsidRDefault="00C25972" w:rsidP="00AF1018">
      <w:pPr>
        <w:keepNext/>
        <w:keepLines/>
      </w:pPr>
    </w:p>
    <w:p w14:paraId="28B350CF" w14:textId="0BC45137" w:rsidR="0094129D" w:rsidRDefault="00AB7628" w:rsidP="009D6631">
      <w:r>
        <w:rPr>
          <w:caps/>
        </w:rPr>
        <w:t>A</w:t>
      </w:r>
      <w:r>
        <w:t xml:space="preserve">nother approach is the use of a nested multi-attribute model that decomposes the dimensionality of the </w:t>
      </w:r>
      <w:r w:rsidR="00CF60D1">
        <w:t>score aggregation</w:t>
      </w:r>
      <w:r>
        <w:t xml:space="preserve"> model into smaller sub-models that become inputs into a new </w:t>
      </w:r>
      <w:r w:rsidR="00CF60D1">
        <w:t>aggregation</w:t>
      </w:r>
      <w:r>
        <w:t xml:space="preserve"> model.  Although the number of variables increases, the size of the new </w:t>
      </w:r>
      <w:r w:rsidR="00CF60D1">
        <w:t>score aggregation</w:t>
      </w:r>
      <w:r>
        <w:t xml:space="preserve"> table is considerably smaller (Figure </w:t>
      </w:r>
      <w:r w:rsidR="0094129D">
        <w:t>1</w:t>
      </w:r>
      <w:r w:rsidR="008A4183">
        <w:t>2</w:t>
      </w:r>
      <w:r w:rsidR="00A612BB">
        <w:t>)</w:t>
      </w:r>
      <w:r>
        <w:t xml:space="preserve">.  </w:t>
      </w:r>
      <w:r w:rsidR="00A612BB">
        <w:t xml:space="preserve">In addition to the decrease in the dimensionality of the new </w:t>
      </w:r>
      <w:r w:rsidR="00CF60D1">
        <w:t>aggregation</w:t>
      </w:r>
      <w:r w:rsidR="00A612BB">
        <w:t xml:space="preserve"> table, the consideration of exceptions becomes simpler.  We could define algorithms for identifying exceptions within the “sensitivity” sub-</w:t>
      </w:r>
      <w:r w:rsidR="00CF60D1">
        <w:t>model</w:t>
      </w:r>
      <w:r w:rsidR="00A612BB">
        <w:t xml:space="preserve"> function (Figure </w:t>
      </w:r>
      <w:r w:rsidR="0094129D">
        <w:t>1</w:t>
      </w:r>
      <w:r w:rsidR="008A4183">
        <w:t>2</w:t>
      </w:r>
      <w:r w:rsidR="00A612BB">
        <w:t xml:space="preserve">), for example, shifting the task to identifying the algorithm rather than searching for exceptions through a large number of possible combinations.  For </w:t>
      </w:r>
    </w:p>
    <w:p w14:paraId="43CDCFA6" w14:textId="77777777" w:rsidR="00AF1018" w:rsidRDefault="00AF1018" w:rsidP="009D6631"/>
    <w:p w14:paraId="1E8586ED" w14:textId="77777777" w:rsidR="00AB7628" w:rsidRDefault="00AF0B85" w:rsidP="00736530">
      <w:r w:rsidRPr="00AF0B85">
        <w:rPr>
          <w:noProof/>
        </w:rPr>
        <w:drawing>
          <wp:inline distT="0" distB="0" distL="0" distR="0" wp14:anchorId="6BC93180" wp14:editId="1EDEB57A">
            <wp:extent cx="4572000" cy="2624328"/>
            <wp:effectExtent l="0" t="0" r="0" b="508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624328"/>
                    </a:xfrm>
                    <a:prstGeom prst="rect">
                      <a:avLst/>
                    </a:prstGeom>
                    <a:noFill/>
                    <a:ln>
                      <a:noFill/>
                    </a:ln>
                    <a:effectLst/>
                    <a:extLst/>
                  </pic:spPr>
                </pic:pic>
              </a:graphicData>
            </a:graphic>
          </wp:inline>
        </w:drawing>
      </w:r>
    </w:p>
    <w:p w14:paraId="3C407E1C" w14:textId="2AD21045" w:rsidR="00681964" w:rsidRDefault="00AB7628" w:rsidP="00AB7628">
      <w:pPr>
        <w:pStyle w:val="Caption"/>
      </w:pPr>
      <w:r>
        <w:t xml:space="preserve">Figure </w:t>
      </w:r>
      <w:r w:rsidR="0094129D">
        <w:t>1</w:t>
      </w:r>
      <w:r w:rsidR="008A4183">
        <w:t>2</w:t>
      </w:r>
      <w:r>
        <w:t xml:space="preserve">. </w:t>
      </w:r>
      <w:proofErr w:type="spellStart"/>
      <w:proofErr w:type="gramStart"/>
      <w:r>
        <w:t>Multiattribute</w:t>
      </w:r>
      <w:proofErr w:type="spellEnd"/>
      <w:r>
        <w:t xml:space="preserve"> utility model</w:t>
      </w:r>
      <w:r w:rsidR="00A612BB">
        <w:t xml:space="preserve"> with sub-utility models for “sensitivity” and “exposure”.</w:t>
      </w:r>
      <w:proofErr w:type="gramEnd"/>
    </w:p>
    <w:p w14:paraId="4941BD92" w14:textId="77777777" w:rsidR="0094129D" w:rsidRDefault="0094129D" w:rsidP="0094129D"/>
    <w:p w14:paraId="0566867B" w14:textId="77777777" w:rsidR="0094129D" w:rsidRPr="00AB7628" w:rsidRDefault="0094129D" w:rsidP="0094129D">
      <w:pPr>
        <w:rPr>
          <w:caps/>
        </w:rPr>
      </w:pPr>
      <w:proofErr w:type="gramStart"/>
      <w:r>
        <w:lastRenderedPageBreak/>
        <w:t>example</w:t>
      </w:r>
      <w:proofErr w:type="gramEnd"/>
      <w:r>
        <w:t>, a multiplicative “sensitivity” sub-model could be defined, which would mean that any occurrence of “0” in any of the vulnerability criteria would generate a “0” in the aggregated sensitivity model score.</w:t>
      </w:r>
    </w:p>
    <w:p w14:paraId="0E08B6B5" w14:textId="4FCFD10C" w:rsidR="00A612BB" w:rsidRDefault="00A612BB" w:rsidP="00361727">
      <w:r>
        <w:t>The task would be to work with the team of experts charged with refining and vetting the vulnerability model to agree upon an aggregation scoring functi</w:t>
      </w:r>
      <w:r w:rsidR="00361727">
        <w:t>on that exhibits properties matching our intuitions about exceptions, while remaining simple enough to be tractable and easy to communicate.</w:t>
      </w:r>
    </w:p>
    <w:p w14:paraId="02AB3BF9" w14:textId="1A4E6242" w:rsidR="00E508E5" w:rsidRDefault="005E7BEA" w:rsidP="00EE1718">
      <w:pPr>
        <w:pStyle w:val="Heading3"/>
      </w:pPr>
      <w:bookmarkStart w:id="17" w:name="_Toc256149269"/>
      <w:r>
        <w:t>Assessment</w:t>
      </w:r>
      <w:r w:rsidR="00513FA8">
        <w:t xml:space="preserve"> </w:t>
      </w:r>
      <w:r w:rsidR="00E508E5">
        <w:t>endpoints</w:t>
      </w:r>
      <w:bookmarkEnd w:id="17"/>
    </w:p>
    <w:p w14:paraId="71EA9FB1" w14:textId="579DCA81" w:rsidR="00E508E5" w:rsidRDefault="00616063" w:rsidP="00E508E5">
      <w:r>
        <w:t>The assessment endpoints for an ecological risk assessment explicitly express the ecological values that are being managed or recovered, often operationally defined in terms of ecosystem components and their attributes (</w:t>
      </w:r>
      <w:r w:rsidR="00576906">
        <w:t xml:space="preserve">EPA, 1992; </w:t>
      </w:r>
      <w:proofErr w:type="spellStart"/>
      <w:r>
        <w:t>Suter</w:t>
      </w:r>
      <w:proofErr w:type="spellEnd"/>
      <w:r>
        <w:t xml:space="preserve">, </w:t>
      </w:r>
      <w:r w:rsidR="00576906">
        <w:t>2007).</w:t>
      </w:r>
      <w:r w:rsidR="00905CFC">
        <w:t xml:space="preserve">  </w:t>
      </w:r>
      <w:r w:rsidR="00D00B83">
        <w:t>The choice of assessment endpoints is the process by which ecosystem recovery and management planning goals are translated into specific attributes of the ecosystem that is being recovered and managed.  Narrowing down the possible choice of components and attributes into a tractable set is an important part of the process of evaluating and comparing ecosystem pressures, since the chosen set should reflect the biophysical components and processes within the linked natural and human systems being managed, as well as the goals and values of the ecosystem managers.  The complexity of this task necessitates the use of conceptual models to ground the choice of assessment endpoints and clear consideration of scale, driving processes, and the different levels of organization tha</w:t>
      </w:r>
      <w:r w:rsidR="00327AA0">
        <w:t xml:space="preserve">t make up the ecosystem (organism, population, community, and ecosystem).  For this reason, clear criteria should be used when choosing assessment endpoints (Table </w:t>
      </w:r>
      <w:r w:rsidR="00892D05">
        <w:t>4</w:t>
      </w:r>
      <w:r w:rsidR="00327AA0">
        <w:t>).</w:t>
      </w:r>
      <w:r w:rsidR="00563E9F">
        <w:t xml:space="preserve">  </w:t>
      </w:r>
      <w:proofErr w:type="spellStart"/>
      <w:r w:rsidR="00563E9F">
        <w:t>Suter</w:t>
      </w:r>
      <w:proofErr w:type="spellEnd"/>
      <w:r w:rsidR="00563E9F">
        <w:t xml:space="preserve"> (2007) counsels risk </w:t>
      </w:r>
      <w:r w:rsidR="00E508E5">
        <w:t xml:space="preserve">assessors </w:t>
      </w:r>
      <w:r w:rsidR="00563E9F">
        <w:t>to</w:t>
      </w:r>
      <w:r w:rsidR="00E508E5">
        <w:t xml:space="preserve"> focus on the levels of organization at which the</w:t>
      </w:r>
      <w:r w:rsidR="00563E9F">
        <w:t xml:space="preserve"> endpoint entities are defined and to l</w:t>
      </w:r>
      <w:r w:rsidR="00E508E5">
        <w:t xml:space="preserve">ook both above and below these levels when considering </w:t>
      </w:r>
      <w:r w:rsidR="00563E9F">
        <w:t xml:space="preserve">the </w:t>
      </w:r>
      <w:r w:rsidR="00E508E5">
        <w:t>meaning of assessment.</w:t>
      </w:r>
    </w:p>
    <w:p w14:paraId="56DFA9C4" w14:textId="729D3265" w:rsidR="000E2E5F" w:rsidRDefault="000E2E5F" w:rsidP="00E508E5">
      <w:r>
        <w:t xml:space="preserve">Three sets of endpoints will be finalized during initial expert workshops conducted </w:t>
      </w:r>
      <w:r w:rsidR="005D48D6">
        <w:t>as part of</w:t>
      </w:r>
      <w:r>
        <w:t xml:space="preserve"> the p</w:t>
      </w:r>
      <w:r w:rsidR="005D48D6">
        <w:t xml:space="preserve">ressures assessment, each set corresponding to one of the three ecosystem domains within the Puget Sound Partnership’s conceptual model of Puget Sound ecosystem recovery: marine &amp; nearshore, terrestrial, and freshwater aquatic.  This technical memorandum offers draft lists of assessment endpoints for each of the domains, for refinement during expert workshops (Table </w:t>
      </w:r>
      <w:r w:rsidR="00892D05">
        <w:t>5</w:t>
      </w:r>
      <w:r w:rsidR="005D48D6">
        <w:t>.)</w:t>
      </w:r>
    </w:p>
    <w:p w14:paraId="4F48B240" w14:textId="3DA6448F" w:rsidR="00447E55" w:rsidRDefault="0002307E" w:rsidP="0002307E">
      <w:pPr>
        <w:pStyle w:val="FigureHeading"/>
        <w:keepNext/>
        <w:keepLines/>
        <w:widowControl/>
      </w:pPr>
      <w:r>
        <w:lastRenderedPageBreak/>
        <w:t xml:space="preserve">Table </w:t>
      </w:r>
      <w:r w:rsidR="00892D05">
        <w:t>4</w:t>
      </w:r>
      <w:r>
        <w:t xml:space="preserve">.  </w:t>
      </w:r>
      <w:r w:rsidR="00447E55">
        <w:t>Criteria for selection of assessment endpoints (</w:t>
      </w:r>
      <w:r>
        <w:t xml:space="preserve">Based Box 16.2 from </w:t>
      </w:r>
      <w:proofErr w:type="spellStart"/>
      <w:r w:rsidR="00447E55">
        <w:t>Suter</w:t>
      </w:r>
      <w:proofErr w:type="spellEnd"/>
      <w:r w:rsidR="00447E55">
        <w:t xml:space="preserve"> et al., 2007</w:t>
      </w:r>
      <w:r>
        <w:t xml:space="preserve">, </w:t>
      </w:r>
      <w:r w:rsidR="00447E55">
        <w:t>p. 164)</w:t>
      </w:r>
    </w:p>
    <w:tbl>
      <w:tblPr>
        <w:tblStyle w:val="LightShading-Accent1"/>
        <w:tblW w:w="0" w:type="auto"/>
        <w:tblLook w:val="04A0" w:firstRow="1" w:lastRow="0" w:firstColumn="1" w:lastColumn="0" w:noHBand="0" w:noVBand="1"/>
      </w:tblPr>
      <w:tblGrid>
        <w:gridCol w:w="2796"/>
        <w:gridCol w:w="6132"/>
      </w:tblGrid>
      <w:tr w:rsidR="0002307E" w:rsidRPr="0002307E" w14:paraId="327B3460" w14:textId="77777777" w:rsidTr="000230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22988F47" w14:textId="5E1FAA72" w:rsidR="0002307E" w:rsidRPr="0002307E" w:rsidRDefault="0002307E" w:rsidP="0002307E">
            <w:pPr>
              <w:keepNext/>
              <w:keepLines/>
              <w:widowControl/>
            </w:pPr>
            <w:r>
              <w:t>Criteria</w:t>
            </w:r>
          </w:p>
        </w:tc>
        <w:tc>
          <w:tcPr>
            <w:tcW w:w="6132" w:type="dxa"/>
          </w:tcPr>
          <w:p w14:paraId="51BD6159" w14:textId="7FDAC255" w:rsidR="0002307E" w:rsidRPr="0002307E" w:rsidRDefault="0002307E" w:rsidP="0002307E">
            <w:pPr>
              <w:keepNext/>
              <w:keepLines/>
              <w:widowControl/>
              <w:cnfStyle w:val="100000000000" w:firstRow="1" w:lastRow="0" w:firstColumn="0" w:lastColumn="0" w:oddVBand="0" w:evenVBand="0" w:oddHBand="0" w:evenHBand="0" w:firstRowFirstColumn="0" w:firstRowLastColumn="0" w:lastRowFirstColumn="0" w:lastRowLastColumn="0"/>
            </w:pPr>
            <w:r>
              <w:t>Definition</w:t>
            </w:r>
          </w:p>
        </w:tc>
      </w:tr>
      <w:tr w:rsidR="0002307E" w:rsidRPr="0002307E" w14:paraId="607A7D02" w14:textId="37E1E791" w:rsidTr="00023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375C06B7" w14:textId="7BCA2E01" w:rsidR="0002307E" w:rsidRPr="0002307E" w:rsidRDefault="0002307E" w:rsidP="0002307E">
            <w:pPr>
              <w:keepNext/>
              <w:keepLines/>
              <w:widowControl/>
            </w:pPr>
            <w:r w:rsidRPr="0002307E">
              <w:t>Policy goals and societal values</w:t>
            </w:r>
          </w:p>
        </w:tc>
        <w:tc>
          <w:tcPr>
            <w:tcW w:w="6132" w:type="dxa"/>
          </w:tcPr>
          <w:p w14:paraId="779E726E" w14:textId="02E9F6E7" w:rsidR="0002307E" w:rsidRPr="0002307E" w:rsidRDefault="0002307E" w:rsidP="0002307E">
            <w:pPr>
              <w:keepNext/>
              <w:keepLines/>
              <w:widowControl/>
              <w:cnfStyle w:val="000000100000" w:firstRow="0" w:lastRow="0" w:firstColumn="0" w:lastColumn="0" w:oddVBand="0" w:evenVBand="0" w:oddHBand="1" w:evenHBand="0" w:firstRowFirstColumn="0" w:firstRowLastColumn="0" w:lastRowFirstColumn="0" w:lastRowLastColumn="0"/>
            </w:pPr>
            <w:r>
              <w:t>Because the action of pressures and stressors on the assessment endpoint are the basis for management, the choice of the endpoint should reflect the goals and values that managers seek to protect, recover, and manage.</w:t>
            </w:r>
          </w:p>
        </w:tc>
      </w:tr>
      <w:tr w:rsidR="0002307E" w:rsidRPr="0002307E" w14:paraId="58F06693" w14:textId="1872498F" w:rsidTr="0002307E">
        <w:tc>
          <w:tcPr>
            <w:cnfStyle w:val="001000000000" w:firstRow="0" w:lastRow="0" w:firstColumn="1" w:lastColumn="0" w:oddVBand="0" w:evenVBand="0" w:oddHBand="0" w:evenHBand="0" w:firstRowFirstColumn="0" w:firstRowLastColumn="0" w:lastRowFirstColumn="0" w:lastRowLastColumn="0"/>
            <w:tcW w:w="2796" w:type="dxa"/>
          </w:tcPr>
          <w:p w14:paraId="561AB075" w14:textId="76659B2A" w:rsidR="0002307E" w:rsidRPr="0002307E" w:rsidRDefault="0002307E" w:rsidP="0002307E">
            <w:pPr>
              <w:keepNext/>
              <w:keepLines/>
              <w:widowControl/>
            </w:pPr>
            <w:r w:rsidRPr="0002307E">
              <w:t>Ecological relevance</w:t>
            </w:r>
          </w:p>
        </w:tc>
        <w:tc>
          <w:tcPr>
            <w:tcW w:w="6132" w:type="dxa"/>
          </w:tcPr>
          <w:p w14:paraId="45F40B56" w14:textId="5069BC96" w:rsidR="0002307E" w:rsidRPr="0002307E" w:rsidRDefault="003E40C6" w:rsidP="003F313F">
            <w:pPr>
              <w:keepNext/>
              <w:keepLines/>
              <w:widowControl/>
              <w:cnfStyle w:val="000000000000" w:firstRow="0" w:lastRow="0" w:firstColumn="0" w:lastColumn="0" w:oddVBand="0" w:evenVBand="0" w:oddHBand="0" w:evenHBand="0" w:firstRowFirstColumn="0" w:firstRowLastColumn="0" w:lastRowFirstColumn="0" w:lastRowLastColumn="0"/>
            </w:pPr>
            <w:r>
              <w:t xml:space="preserve">Components and attributes that </w:t>
            </w:r>
            <w:r w:rsidR="003F313F">
              <w:t>are significant determinants of the attributes of the system of which they are a part should be considered above components and attributes that could be augmented or degraded without significant ecosystem-level consequences.  Keystone species that influence community composition or species that are consumed by multiple species at multiple levels of a food web are examples of endpoints with high ecological relevance.</w:t>
            </w:r>
            <w:r>
              <w:t xml:space="preserve"> </w:t>
            </w:r>
          </w:p>
        </w:tc>
      </w:tr>
      <w:tr w:rsidR="0002307E" w:rsidRPr="0002307E" w14:paraId="0D3BDA73" w14:textId="143C84E8" w:rsidTr="00023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199BE8BA" w14:textId="13636B91" w:rsidR="0002307E" w:rsidRPr="0002307E" w:rsidRDefault="0002307E" w:rsidP="0002307E">
            <w:pPr>
              <w:keepNext/>
              <w:keepLines/>
              <w:widowControl/>
            </w:pPr>
            <w:r w:rsidRPr="0002307E">
              <w:t>Susceptibility (sensitivity to stressors)</w:t>
            </w:r>
          </w:p>
        </w:tc>
        <w:tc>
          <w:tcPr>
            <w:tcW w:w="6132" w:type="dxa"/>
          </w:tcPr>
          <w:p w14:paraId="1358A19F" w14:textId="1645CB06" w:rsidR="0002307E" w:rsidRPr="0002307E" w:rsidRDefault="00A33B94" w:rsidP="0002307E">
            <w:pPr>
              <w:keepNext/>
              <w:keepLines/>
              <w:widowControl/>
              <w:cnfStyle w:val="000000100000" w:firstRow="0" w:lastRow="0" w:firstColumn="0" w:lastColumn="0" w:oddVBand="0" w:evenVBand="0" w:oddHBand="1" w:evenHBand="0" w:firstRowFirstColumn="0" w:firstRowLastColumn="0" w:lastRowFirstColumn="0" w:lastRowLastColumn="0"/>
            </w:pPr>
            <w:r>
              <w:t>Components and attributes that are potentially highly exposed to and/or highly responsive to exposure to the stressors being evaluated are more relevant.</w:t>
            </w:r>
          </w:p>
        </w:tc>
      </w:tr>
      <w:tr w:rsidR="0002307E" w:rsidRPr="0002307E" w14:paraId="224C162C" w14:textId="12F5CF91" w:rsidTr="0002307E">
        <w:tc>
          <w:tcPr>
            <w:cnfStyle w:val="001000000000" w:firstRow="0" w:lastRow="0" w:firstColumn="1" w:lastColumn="0" w:oddVBand="0" w:evenVBand="0" w:oddHBand="0" w:evenHBand="0" w:firstRowFirstColumn="0" w:firstRowLastColumn="0" w:lastRowFirstColumn="0" w:lastRowLastColumn="0"/>
            <w:tcW w:w="2796" w:type="dxa"/>
          </w:tcPr>
          <w:p w14:paraId="4C382E11" w14:textId="67D67BBA" w:rsidR="0002307E" w:rsidRPr="0002307E" w:rsidRDefault="0002307E" w:rsidP="0002307E">
            <w:pPr>
              <w:keepNext/>
              <w:keepLines/>
              <w:widowControl/>
            </w:pPr>
            <w:r w:rsidRPr="0002307E">
              <w:t>Operationally definable</w:t>
            </w:r>
          </w:p>
        </w:tc>
        <w:tc>
          <w:tcPr>
            <w:tcW w:w="6132" w:type="dxa"/>
          </w:tcPr>
          <w:p w14:paraId="253F62A6" w14:textId="3A91E92F" w:rsidR="0002307E" w:rsidRPr="0002307E" w:rsidRDefault="00FA7982" w:rsidP="0002307E">
            <w:pPr>
              <w:keepNext/>
              <w:keepLines/>
              <w:widowControl/>
              <w:cnfStyle w:val="000000000000" w:firstRow="0" w:lastRow="0" w:firstColumn="0" w:lastColumn="0" w:oddVBand="0" w:evenVBand="0" w:oddHBand="0" w:evenHBand="0" w:firstRowFirstColumn="0" w:firstRowLastColumn="0" w:lastRowFirstColumn="0" w:lastRowLastColumn="0"/>
            </w:pPr>
            <w:r>
              <w:t xml:space="preserve">An operationally definable endpoint is one that corresponds to aspects of the system that can be directly observed, monitored through surrogates, and/or modeled within the </w:t>
            </w:r>
            <w:r w:rsidR="00DE2879">
              <w:t>adaptive management framework being used to manage the system.</w:t>
            </w:r>
          </w:p>
        </w:tc>
      </w:tr>
      <w:tr w:rsidR="0002307E" w:rsidRPr="0002307E" w14:paraId="55CD3C8B" w14:textId="6275D2EC" w:rsidTr="000230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6" w:type="dxa"/>
          </w:tcPr>
          <w:p w14:paraId="5BFB6136" w14:textId="149172EC" w:rsidR="0002307E" w:rsidRPr="0002307E" w:rsidRDefault="0002307E" w:rsidP="0002307E">
            <w:pPr>
              <w:keepNext/>
              <w:keepLines/>
              <w:widowControl/>
            </w:pPr>
            <w:r w:rsidRPr="0002307E">
              <w:t>Appropriate scale</w:t>
            </w:r>
          </w:p>
        </w:tc>
        <w:tc>
          <w:tcPr>
            <w:tcW w:w="6132" w:type="dxa"/>
          </w:tcPr>
          <w:p w14:paraId="3647E63B" w14:textId="7520CCF4" w:rsidR="0002307E" w:rsidRPr="0002307E" w:rsidRDefault="005C5C91" w:rsidP="0002307E">
            <w:pPr>
              <w:keepNext/>
              <w:keepLines/>
              <w:widowControl/>
              <w:cnfStyle w:val="000000100000" w:firstRow="0" w:lastRow="0" w:firstColumn="0" w:lastColumn="0" w:oddVBand="0" w:evenVBand="0" w:oddHBand="1" w:evenHBand="0" w:firstRowFirstColumn="0" w:firstRowLastColumn="0" w:lastRowFirstColumn="0" w:lastRowLastColumn="0"/>
            </w:pPr>
            <w:r>
              <w:t>Endpoints should be chosen with scales corresponding to the management actions being evaluated and implemented and/or at the scale of the activities corresponding to pressure classes associated with the stressors being evaluated.</w:t>
            </w:r>
          </w:p>
        </w:tc>
      </w:tr>
      <w:tr w:rsidR="0002307E" w:rsidRPr="0002307E" w14:paraId="1D3B2B2F" w14:textId="1EEC1897" w:rsidTr="0002307E">
        <w:tc>
          <w:tcPr>
            <w:cnfStyle w:val="001000000000" w:firstRow="0" w:lastRow="0" w:firstColumn="1" w:lastColumn="0" w:oddVBand="0" w:evenVBand="0" w:oddHBand="0" w:evenHBand="0" w:firstRowFirstColumn="0" w:firstRowLastColumn="0" w:lastRowFirstColumn="0" w:lastRowLastColumn="0"/>
            <w:tcW w:w="2796" w:type="dxa"/>
          </w:tcPr>
          <w:p w14:paraId="3D9877DD" w14:textId="4FB190D0" w:rsidR="0002307E" w:rsidRPr="0002307E" w:rsidRDefault="0002307E" w:rsidP="0002307E">
            <w:pPr>
              <w:keepNext/>
              <w:keepLines/>
              <w:widowControl/>
            </w:pPr>
            <w:r w:rsidRPr="0002307E">
              <w:t>Practicality</w:t>
            </w:r>
          </w:p>
        </w:tc>
        <w:tc>
          <w:tcPr>
            <w:tcW w:w="6132" w:type="dxa"/>
          </w:tcPr>
          <w:p w14:paraId="7674DE20" w14:textId="173AA9E8" w:rsidR="0002307E" w:rsidRPr="0002307E" w:rsidRDefault="003A5E8A" w:rsidP="0002307E">
            <w:pPr>
              <w:keepNext/>
              <w:keepLines/>
              <w:widowControl/>
              <w:cnfStyle w:val="000000000000" w:firstRow="0" w:lastRow="0" w:firstColumn="0" w:lastColumn="0" w:oddVBand="0" w:evenVBand="0" w:oddHBand="0" w:evenHBand="0" w:firstRowFirstColumn="0" w:firstRowLastColumn="0" w:lastRowFirstColumn="0" w:lastRowLastColumn="0"/>
            </w:pPr>
            <w:r>
              <w:t>Endpoints should be chosen such that a strong technical basis exists for evaluating the relations between stressors and potential impacts to endpoints.</w:t>
            </w:r>
          </w:p>
        </w:tc>
      </w:tr>
    </w:tbl>
    <w:p w14:paraId="610EBC93" w14:textId="77777777" w:rsidR="002639B0" w:rsidRDefault="002639B0" w:rsidP="00B17E45">
      <w:pPr>
        <w:rPr>
          <w:shd w:val="clear" w:color="auto" w:fill="FFFFFF"/>
        </w:rPr>
      </w:pPr>
    </w:p>
    <w:p w14:paraId="3919306F" w14:textId="77777777" w:rsidR="002639B0" w:rsidRDefault="002639B0" w:rsidP="002639B0"/>
    <w:p w14:paraId="2BC99277" w14:textId="78D59570" w:rsidR="00A0709F" w:rsidRPr="005D48D6" w:rsidRDefault="00A0709F" w:rsidP="00A0709F">
      <w:pPr>
        <w:pStyle w:val="FigureHeading"/>
        <w:keepNext/>
        <w:keepLines/>
        <w:widowControl/>
      </w:pPr>
      <w:r>
        <w:lastRenderedPageBreak/>
        <w:t xml:space="preserve">Table </w:t>
      </w:r>
      <w:r w:rsidR="00892D05">
        <w:t>5</w:t>
      </w:r>
      <w:r w:rsidRPr="005D48D6">
        <w:t xml:space="preserve">.  </w:t>
      </w:r>
      <w:r w:rsidR="005D48D6" w:rsidRPr="005D48D6">
        <w:t xml:space="preserve">Suggested assessment endpoints for consideration and refinement during expert workshops.  </w:t>
      </w:r>
      <w:r w:rsidR="005D48D6">
        <w:t xml:space="preserve">Notes: a) </w:t>
      </w:r>
      <w:r w:rsidR="000E2E5F" w:rsidRPr="005D48D6">
        <w:t xml:space="preserve">Valued Ecosystem Components from the Puget Sound Nearshore Restoration Project (PSNERP), as listed in </w:t>
      </w:r>
      <w:proofErr w:type="spellStart"/>
      <w:r w:rsidR="000E2E5F" w:rsidRPr="005D48D6">
        <w:t>Schlenger</w:t>
      </w:r>
      <w:proofErr w:type="spellEnd"/>
      <w:r w:rsidR="000E2E5F" w:rsidRPr="005D48D6">
        <w:t xml:space="preserve"> </w:t>
      </w:r>
      <w:r w:rsidR="005D48D6">
        <w:t xml:space="preserve">et al., 2011; b) </w:t>
      </w:r>
      <w:r w:rsidR="00EA202E">
        <w:t xml:space="preserve">Examples of possible endpoints for the terrestrial domain; </w:t>
      </w:r>
      <w:r w:rsidR="005D48D6">
        <w:t xml:space="preserve">c) </w:t>
      </w:r>
      <w:r w:rsidR="005301A2">
        <w:t>Examples of possible endpoints for the freshwater aquatic domain</w:t>
      </w:r>
    </w:p>
    <w:tbl>
      <w:tblPr>
        <w:tblStyle w:val="TableGrid"/>
        <w:tblW w:w="0" w:type="auto"/>
        <w:tblLook w:val="04A0" w:firstRow="1" w:lastRow="0" w:firstColumn="1" w:lastColumn="0" w:noHBand="0" w:noVBand="1"/>
      </w:tblPr>
      <w:tblGrid>
        <w:gridCol w:w="3416"/>
        <w:gridCol w:w="3080"/>
        <w:gridCol w:w="3080"/>
      </w:tblGrid>
      <w:tr w:rsidR="005D48D6" w:rsidRPr="002639B0" w14:paraId="70AACA61" w14:textId="77777777" w:rsidTr="005D48D6">
        <w:tc>
          <w:tcPr>
            <w:tcW w:w="3416" w:type="dxa"/>
          </w:tcPr>
          <w:p w14:paraId="697F4A02" w14:textId="2BF14140" w:rsidR="005D48D6" w:rsidRPr="007C512E" w:rsidRDefault="005D48D6" w:rsidP="007C512E">
            <w:pPr>
              <w:rPr>
                <w:b/>
                <w:color w:val="0070C0"/>
                <w:shd w:val="clear" w:color="auto" w:fill="FFFFFF"/>
                <w:vertAlign w:val="superscript"/>
              </w:rPr>
            </w:pPr>
            <w:r w:rsidRPr="007C512E">
              <w:rPr>
                <w:b/>
                <w:color w:val="0070C0"/>
                <w:shd w:val="clear" w:color="auto" w:fill="FFFFFF"/>
              </w:rPr>
              <w:t xml:space="preserve">Marine &amp; </w:t>
            </w:r>
            <w:proofErr w:type="spellStart"/>
            <w:r w:rsidRPr="007C512E">
              <w:rPr>
                <w:b/>
                <w:color w:val="0070C0"/>
                <w:shd w:val="clear" w:color="auto" w:fill="FFFFFF"/>
              </w:rPr>
              <w:t>Nearshore</w:t>
            </w:r>
            <w:r w:rsidRPr="007C512E">
              <w:rPr>
                <w:b/>
                <w:color w:val="0070C0"/>
                <w:shd w:val="clear" w:color="auto" w:fill="FFFFFF"/>
                <w:vertAlign w:val="superscript"/>
              </w:rPr>
              <w:t>a</w:t>
            </w:r>
            <w:proofErr w:type="spellEnd"/>
          </w:p>
        </w:tc>
        <w:tc>
          <w:tcPr>
            <w:tcW w:w="3080" w:type="dxa"/>
          </w:tcPr>
          <w:p w14:paraId="534711B5" w14:textId="616108EB" w:rsidR="005D48D6" w:rsidRPr="007C512E" w:rsidRDefault="005D48D6" w:rsidP="007C512E">
            <w:pPr>
              <w:rPr>
                <w:b/>
                <w:color w:val="0070C0"/>
                <w:shd w:val="clear" w:color="auto" w:fill="FFFFFF"/>
                <w:vertAlign w:val="superscript"/>
              </w:rPr>
            </w:pPr>
            <w:proofErr w:type="spellStart"/>
            <w:r w:rsidRPr="007C512E">
              <w:rPr>
                <w:b/>
                <w:color w:val="0070C0"/>
                <w:shd w:val="clear" w:color="auto" w:fill="FFFFFF"/>
              </w:rPr>
              <w:t>Terrestrial</w:t>
            </w:r>
            <w:r w:rsidRPr="007C512E">
              <w:rPr>
                <w:b/>
                <w:color w:val="0070C0"/>
                <w:shd w:val="clear" w:color="auto" w:fill="FFFFFF"/>
                <w:vertAlign w:val="superscript"/>
              </w:rPr>
              <w:t>b</w:t>
            </w:r>
            <w:proofErr w:type="spellEnd"/>
          </w:p>
        </w:tc>
        <w:tc>
          <w:tcPr>
            <w:tcW w:w="3080" w:type="dxa"/>
          </w:tcPr>
          <w:p w14:paraId="687F2491" w14:textId="62A002F3" w:rsidR="005D48D6" w:rsidRPr="007C512E" w:rsidRDefault="005D48D6" w:rsidP="007C512E">
            <w:pPr>
              <w:rPr>
                <w:b/>
                <w:color w:val="0070C0"/>
                <w:shd w:val="clear" w:color="auto" w:fill="FFFFFF"/>
                <w:vertAlign w:val="superscript"/>
              </w:rPr>
            </w:pPr>
            <w:r w:rsidRPr="007C512E">
              <w:rPr>
                <w:b/>
                <w:color w:val="0070C0"/>
                <w:shd w:val="clear" w:color="auto" w:fill="FFFFFF"/>
              </w:rPr>
              <w:t xml:space="preserve">Freshwater </w:t>
            </w:r>
            <w:proofErr w:type="spellStart"/>
            <w:r w:rsidRPr="007C512E">
              <w:rPr>
                <w:b/>
                <w:color w:val="0070C0"/>
                <w:shd w:val="clear" w:color="auto" w:fill="FFFFFF"/>
              </w:rPr>
              <w:t>Aquatic</w:t>
            </w:r>
            <w:r w:rsidRPr="007C512E">
              <w:rPr>
                <w:b/>
                <w:color w:val="0070C0"/>
                <w:shd w:val="clear" w:color="auto" w:fill="FFFFFF"/>
                <w:vertAlign w:val="superscript"/>
              </w:rPr>
              <w:t>c</w:t>
            </w:r>
            <w:proofErr w:type="spellEnd"/>
          </w:p>
        </w:tc>
      </w:tr>
      <w:tr w:rsidR="00A634F6" w:rsidRPr="002639B0" w14:paraId="2B0A6B9E" w14:textId="3E84DE19" w:rsidTr="00AE08E2">
        <w:tc>
          <w:tcPr>
            <w:tcW w:w="3416" w:type="dxa"/>
          </w:tcPr>
          <w:p w14:paraId="03E95FBC" w14:textId="77777777" w:rsidR="00A634F6" w:rsidRPr="00EA202E" w:rsidRDefault="00A634F6" w:rsidP="00EA202E">
            <w:pPr>
              <w:keepNext/>
              <w:keepLines/>
              <w:widowControl/>
              <w:spacing w:line="240" w:lineRule="auto"/>
              <w:rPr>
                <w:sz w:val="20"/>
                <w:shd w:val="clear" w:color="auto" w:fill="FFFFFF"/>
              </w:rPr>
            </w:pPr>
            <w:r w:rsidRPr="00EA202E">
              <w:rPr>
                <w:sz w:val="20"/>
                <w:shd w:val="clear" w:color="auto" w:fill="FFFFFF"/>
              </w:rPr>
              <w:t>Coastal forests (marine riparian vegetation)</w:t>
            </w:r>
          </w:p>
        </w:tc>
        <w:tc>
          <w:tcPr>
            <w:tcW w:w="3080" w:type="dxa"/>
            <w:vAlign w:val="bottom"/>
          </w:tcPr>
          <w:p w14:paraId="7FCDD12B" w14:textId="479102B2" w:rsidR="00A634F6" w:rsidRPr="00EA202E" w:rsidRDefault="00A634F6" w:rsidP="00EA202E">
            <w:pPr>
              <w:keepNext/>
              <w:keepLines/>
              <w:widowControl/>
              <w:spacing w:line="240" w:lineRule="auto"/>
              <w:rPr>
                <w:sz w:val="20"/>
                <w:shd w:val="clear" w:color="auto" w:fill="FFFFFF"/>
              </w:rPr>
            </w:pPr>
            <w:r w:rsidRPr="00EA202E">
              <w:rPr>
                <w:rFonts w:ascii="Calibri" w:hAnsi="Calibri"/>
                <w:sz w:val="20"/>
              </w:rPr>
              <w:t>Major river flood plains</w:t>
            </w:r>
          </w:p>
        </w:tc>
        <w:tc>
          <w:tcPr>
            <w:tcW w:w="3080" w:type="dxa"/>
          </w:tcPr>
          <w:p w14:paraId="0A4944D8" w14:textId="2F0CD249" w:rsidR="00A634F6" w:rsidRPr="00412B62" w:rsidRDefault="00412B62" w:rsidP="00412B62">
            <w:pPr>
              <w:pStyle w:val="Default"/>
              <w:rPr>
                <w:sz w:val="20"/>
                <w:szCs w:val="20"/>
              </w:rPr>
            </w:pPr>
            <w:r>
              <w:rPr>
                <w:sz w:val="20"/>
                <w:szCs w:val="20"/>
              </w:rPr>
              <w:t xml:space="preserve">Small stream systems (water and sediment quality, flows, and habitat conditions) </w:t>
            </w:r>
          </w:p>
        </w:tc>
      </w:tr>
      <w:tr w:rsidR="00A634F6" w:rsidRPr="002639B0" w14:paraId="338961BA" w14:textId="37E2CB31" w:rsidTr="00AE08E2">
        <w:tc>
          <w:tcPr>
            <w:tcW w:w="3416" w:type="dxa"/>
          </w:tcPr>
          <w:p w14:paraId="49CF5F57" w14:textId="77777777" w:rsidR="00A634F6" w:rsidRPr="00EA202E" w:rsidRDefault="00A634F6" w:rsidP="00EA202E">
            <w:pPr>
              <w:keepNext/>
              <w:keepLines/>
              <w:widowControl/>
              <w:spacing w:line="240" w:lineRule="auto"/>
              <w:rPr>
                <w:sz w:val="20"/>
                <w:shd w:val="clear" w:color="auto" w:fill="FFFFFF"/>
              </w:rPr>
            </w:pPr>
            <w:r w:rsidRPr="00EA202E">
              <w:rPr>
                <w:sz w:val="20"/>
                <w:shd w:val="clear" w:color="auto" w:fill="FFFFFF"/>
              </w:rPr>
              <w:t>Beaches and bluffs</w:t>
            </w:r>
          </w:p>
        </w:tc>
        <w:tc>
          <w:tcPr>
            <w:tcW w:w="3080" w:type="dxa"/>
            <w:vAlign w:val="bottom"/>
          </w:tcPr>
          <w:p w14:paraId="0F10D498" w14:textId="212142E7" w:rsidR="00A634F6" w:rsidRPr="00EA202E" w:rsidRDefault="00A634F6" w:rsidP="00EA202E">
            <w:pPr>
              <w:keepNext/>
              <w:keepLines/>
              <w:widowControl/>
              <w:spacing w:line="240" w:lineRule="auto"/>
              <w:rPr>
                <w:sz w:val="20"/>
                <w:shd w:val="clear" w:color="auto" w:fill="FFFFFF"/>
              </w:rPr>
            </w:pPr>
            <w:r w:rsidRPr="00EA202E">
              <w:rPr>
                <w:rFonts w:ascii="Calibri" w:hAnsi="Calibri"/>
                <w:sz w:val="20"/>
              </w:rPr>
              <w:t xml:space="preserve">Old growth forests </w:t>
            </w:r>
          </w:p>
        </w:tc>
        <w:tc>
          <w:tcPr>
            <w:tcW w:w="3080" w:type="dxa"/>
          </w:tcPr>
          <w:p w14:paraId="1299DD89" w14:textId="67ECA0F5" w:rsidR="00A634F6" w:rsidRPr="00412B62" w:rsidRDefault="00412B62" w:rsidP="00412B62">
            <w:pPr>
              <w:pStyle w:val="Default"/>
              <w:rPr>
                <w:sz w:val="20"/>
                <w:szCs w:val="20"/>
              </w:rPr>
            </w:pPr>
            <w:r>
              <w:rPr>
                <w:sz w:val="20"/>
                <w:szCs w:val="20"/>
              </w:rPr>
              <w:t xml:space="preserve">Major rivers (water and sediment quality, flows, and habitat conditions) </w:t>
            </w:r>
          </w:p>
        </w:tc>
      </w:tr>
      <w:tr w:rsidR="00BF0A9F" w:rsidRPr="002639B0" w14:paraId="43121745" w14:textId="33D4963B" w:rsidTr="00AE08E2">
        <w:tc>
          <w:tcPr>
            <w:tcW w:w="3416" w:type="dxa"/>
          </w:tcPr>
          <w:p w14:paraId="3876DD3C" w14:textId="77777777" w:rsidR="00BF0A9F" w:rsidRPr="00EA202E" w:rsidRDefault="00BF0A9F" w:rsidP="00EA202E">
            <w:pPr>
              <w:keepNext/>
              <w:keepLines/>
              <w:widowControl/>
              <w:spacing w:line="240" w:lineRule="auto"/>
              <w:rPr>
                <w:sz w:val="20"/>
                <w:shd w:val="clear" w:color="auto" w:fill="FFFFFF"/>
              </w:rPr>
            </w:pPr>
            <w:r w:rsidRPr="00EA202E">
              <w:rPr>
                <w:sz w:val="20"/>
                <w:shd w:val="clear" w:color="auto" w:fill="FFFFFF"/>
              </w:rPr>
              <w:t>Eelgrass and kelp</w:t>
            </w:r>
          </w:p>
        </w:tc>
        <w:tc>
          <w:tcPr>
            <w:tcW w:w="3080" w:type="dxa"/>
            <w:vAlign w:val="bottom"/>
          </w:tcPr>
          <w:p w14:paraId="25F5BA74" w14:textId="32D60419" w:rsidR="00BF0A9F" w:rsidRPr="00EA202E" w:rsidRDefault="00BF0A9F" w:rsidP="00EA202E">
            <w:pPr>
              <w:keepNext/>
              <w:keepLines/>
              <w:widowControl/>
              <w:spacing w:line="240" w:lineRule="auto"/>
              <w:rPr>
                <w:sz w:val="20"/>
                <w:shd w:val="clear" w:color="auto" w:fill="FFFFFF"/>
              </w:rPr>
            </w:pPr>
            <w:r w:rsidRPr="00EA202E">
              <w:rPr>
                <w:rFonts w:ascii="Calibri" w:hAnsi="Calibri"/>
                <w:sz w:val="20"/>
              </w:rPr>
              <w:t xml:space="preserve">Westside Prairies and Oregon White Oak Woodlands </w:t>
            </w:r>
          </w:p>
        </w:tc>
        <w:tc>
          <w:tcPr>
            <w:tcW w:w="3080" w:type="dxa"/>
          </w:tcPr>
          <w:p w14:paraId="7D941784" w14:textId="47BDA011" w:rsidR="00BF0A9F" w:rsidRPr="00412B62" w:rsidRDefault="00BF0A9F" w:rsidP="00412B62">
            <w:pPr>
              <w:pStyle w:val="Default"/>
              <w:rPr>
                <w:sz w:val="20"/>
                <w:szCs w:val="20"/>
              </w:rPr>
            </w:pPr>
            <w:r>
              <w:rPr>
                <w:sz w:val="20"/>
                <w:szCs w:val="20"/>
              </w:rPr>
              <w:t xml:space="preserve">Riverine and lake riparian habitat </w:t>
            </w:r>
          </w:p>
        </w:tc>
      </w:tr>
      <w:tr w:rsidR="00BF0A9F" w:rsidRPr="002639B0" w14:paraId="1163CF86" w14:textId="35572B19" w:rsidTr="00AE08E2">
        <w:tc>
          <w:tcPr>
            <w:tcW w:w="3416" w:type="dxa"/>
          </w:tcPr>
          <w:p w14:paraId="28138F0E" w14:textId="77777777" w:rsidR="00BF0A9F" w:rsidRPr="00EA202E" w:rsidRDefault="00BF0A9F" w:rsidP="00EA202E">
            <w:pPr>
              <w:keepNext/>
              <w:keepLines/>
              <w:widowControl/>
              <w:spacing w:line="240" w:lineRule="auto"/>
              <w:rPr>
                <w:sz w:val="20"/>
                <w:shd w:val="clear" w:color="auto" w:fill="FFFFFF"/>
              </w:rPr>
            </w:pPr>
            <w:r w:rsidRPr="00EA202E">
              <w:rPr>
                <w:sz w:val="20"/>
                <w:shd w:val="clear" w:color="auto" w:fill="FFFFFF"/>
              </w:rPr>
              <w:t>Forage fish</w:t>
            </w:r>
          </w:p>
        </w:tc>
        <w:tc>
          <w:tcPr>
            <w:tcW w:w="3080" w:type="dxa"/>
            <w:vAlign w:val="bottom"/>
          </w:tcPr>
          <w:p w14:paraId="6C7F3267" w14:textId="5767F4B8" w:rsidR="00BF0A9F" w:rsidRPr="00EA202E" w:rsidRDefault="00BF0A9F" w:rsidP="00EA202E">
            <w:pPr>
              <w:keepNext/>
              <w:keepLines/>
              <w:widowControl/>
              <w:spacing w:line="240" w:lineRule="auto"/>
              <w:rPr>
                <w:sz w:val="20"/>
                <w:shd w:val="clear" w:color="auto" w:fill="FFFFFF"/>
              </w:rPr>
            </w:pPr>
            <w:r w:rsidRPr="00EA202E">
              <w:rPr>
                <w:rFonts w:ascii="Calibri" w:hAnsi="Calibri"/>
                <w:sz w:val="20"/>
              </w:rPr>
              <w:t xml:space="preserve">Working forestlands </w:t>
            </w:r>
          </w:p>
        </w:tc>
        <w:tc>
          <w:tcPr>
            <w:tcW w:w="3080" w:type="dxa"/>
          </w:tcPr>
          <w:p w14:paraId="6C1D3991" w14:textId="2A6CD03D" w:rsidR="00BF0A9F" w:rsidRPr="00412B62" w:rsidRDefault="00BF0A9F" w:rsidP="00412B62">
            <w:pPr>
              <w:pStyle w:val="Default"/>
              <w:rPr>
                <w:sz w:val="20"/>
                <w:szCs w:val="20"/>
              </w:rPr>
            </w:pPr>
            <w:r>
              <w:rPr>
                <w:sz w:val="20"/>
                <w:szCs w:val="20"/>
              </w:rPr>
              <w:t>Lakes (water and sediment quality, trophic and habitat conditions)</w:t>
            </w:r>
          </w:p>
        </w:tc>
      </w:tr>
      <w:tr w:rsidR="00BF0A9F" w:rsidRPr="002639B0" w14:paraId="1E995FA6" w14:textId="38366790" w:rsidTr="00AE08E2">
        <w:tc>
          <w:tcPr>
            <w:tcW w:w="3416" w:type="dxa"/>
          </w:tcPr>
          <w:p w14:paraId="3D1D0D70" w14:textId="77777777" w:rsidR="00BF0A9F" w:rsidRPr="00EA202E" w:rsidRDefault="00BF0A9F" w:rsidP="00EA202E">
            <w:pPr>
              <w:keepNext/>
              <w:keepLines/>
              <w:widowControl/>
              <w:spacing w:line="240" w:lineRule="auto"/>
              <w:rPr>
                <w:sz w:val="20"/>
                <w:shd w:val="clear" w:color="auto" w:fill="FFFFFF"/>
              </w:rPr>
            </w:pPr>
            <w:r w:rsidRPr="00EA202E">
              <w:rPr>
                <w:sz w:val="20"/>
                <w:shd w:val="clear" w:color="auto" w:fill="FFFFFF"/>
              </w:rPr>
              <w:t>Great blue heron</w:t>
            </w:r>
          </w:p>
        </w:tc>
        <w:tc>
          <w:tcPr>
            <w:tcW w:w="3080" w:type="dxa"/>
            <w:vAlign w:val="bottom"/>
          </w:tcPr>
          <w:p w14:paraId="0EE146CC" w14:textId="4A24152E" w:rsidR="00BF0A9F" w:rsidRPr="00EA202E" w:rsidRDefault="00BF0A9F" w:rsidP="00EA202E">
            <w:pPr>
              <w:keepNext/>
              <w:keepLines/>
              <w:widowControl/>
              <w:spacing w:line="240" w:lineRule="auto"/>
              <w:rPr>
                <w:sz w:val="20"/>
                <w:shd w:val="clear" w:color="auto" w:fill="FFFFFF"/>
              </w:rPr>
            </w:pPr>
            <w:r w:rsidRPr="00EA202E">
              <w:rPr>
                <w:rFonts w:ascii="Calibri" w:hAnsi="Calibri"/>
                <w:sz w:val="20"/>
              </w:rPr>
              <w:t>Working farmlands</w:t>
            </w:r>
          </w:p>
        </w:tc>
        <w:tc>
          <w:tcPr>
            <w:tcW w:w="3080" w:type="dxa"/>
          </w:tcPr>
          <w:p w14:paraId="1A2FCAC5" w14:textId="55659005" w:rsidR="00BF0A9F" w:rsidRPr="00412B62" w:rsidRDefault="00BF0A9F" w:rsidP="00412B62">
            <w:pPr>
              <w:pStyle w:val="Default"/>
              <w:rPr>
                <w:sz w:val="20"/>
                <w:szCs w:val="20"/>
              </w:rPr>
            </w:pPr>
            <w:r>
              <w:rPr>
                <w:sz w:val="20"/>
                <w:szCs w:val="20"/>
              </w:rPr>
              <w:t xml:space="preserve">Groundwater (water quality and levels) </w:t>
            </w:r>
          </w:p>
        </w:tc>
      </w:tr>
      <w:tr w:rsidR="00751390" w:rsidRPr="002639B0" w14:paraId="32A9D4DC" w14:textId="368297AC" w:rsidTr="00AE08E2">
        <w:tc>
          <w:tcPr>
            <w:tcW w:w="3416" w:type="dxa"/>
          </w:tcPr>
          <w:p w14:paraId="7CF73499" w14:textId="77777777" w:rsidR="00751390" w:rsidRPr="00EA202E" w:rsidRDefault="00751390" w:rsidP="00EA202E">
            <w:pPr>
              <w:keepNext/>
              <w:keepLines/>
              <w:widowControl/>
              <w:spacing w:line="240" w:lineRule="auto"/>
              <w:rPr>
                <w:sz w:val="20"/>
                <w:shd w:val="clear" w:color="auto" w:fill="FFFFFF"/>
              </w:rPr>
            </w:pPr>
            <w:r w:rsidRPr="00EA202E">
              <w:rPr>
                <w:sz w:val="20"/>
                <w:shd w:val="clear" w:color="auto" w:fill="FFFFFF"/>
              </w:rPr>
              <w:t>Juvenile salmon</w:t>
            </w:r>
          </w:p>
        </w:tc>
        <w:tc>
          <w:tcPr>
            <w:tcW w:w="3080" w:type="dxa"/>
            <w:vAlign w:val="bottom"/>
          </w:tcPr>
          <w:p w14:paraId="1EB2FE29" w14:textId="47FA15F7" w:rsidR="00751390" w:rsidRPr="00EA202E" w:rsidRDefault="00751390" w:rsidP="00EA202E">
            <w:pPr>
              <w:keepNext/>
              <w:keepLines/>
              <w:widowControl/>
              <w:spacing w:line="240" w:lineRule="auto"/>
              <w:rPr>
                <w:sz w:val="20"/>
                <w:shd w:val="clear" w:color="auto" w:fill="FFFFFF"/>
              </w:rPr>
            </w:pPr>
            <w:r w:rsidRPr="00EA202E">
              <w:rPr>
                <w:rFonts w:ascii="Calibri" w:hAnsi="Calibri"/>
                <w:sz w:val="20"/>
              </w:rPr>
              <w:t xml:space="preserve">Land base under conservation protection </w:t>
            </w:r>
          </w:p>
        </w:tc>
        <w:tc>
          <w:tcPr>
            <w:tcW w:w="3080" w:type="dxa"/>
          </w:tcPr>
          <w:p w14:paraId="4B016C7D" w14:textId="433277CA" w:rsidR="00751390" w:rsidRPr="00412B62" w:rsidRDefault="00751390" w:rsidP="00412B62">
            <w:pPr>
              <w:pStyle w:val="Default"/>
              <w:rPr>
                <w:sz w:val="20"/>
                <w:szCs w:val="20"/>
              </w:rPr>
            </w:pPr>
            <w:r>
              <w:rPr>
                <w:sz w:val="20"/>
                <w:szCs w:val="20"/>
              </w:rPr>
              <w:t>Water provision</w:t>
            </w:r>
          </w:p>
        </w:tc>
      </w:tr>
      <w:tr w:rsidR="00751390" w:rsidRPr="002639B0" w14:paraId="18499E36" w14:textId="10ABCA6F" w:rsidTr="00AE08E2">
        <w:tc>
          <w:tcPr>
            <w:tcW w:w="3416" w:type="dxa"/>
          </w:tcPr>
          <w:p w14:paraId="3857B864" w14:textId="77777777" w:rsidR="00751390" w:rsidRPr="00EA202E" w:rsidRDefault="00751390" w:rsidP="00EA202E">
            <w:pPr>
              <w:keepNext/>
              <w:keepLines/>
              <w:widowControl/>
              <w:spacing w:line="240" w:lineRule="auto"/>
              <w:rPr>
                <w:sz w:val="20"/>
                <w:shd w:val="clear" w:color="auto" w:fill="FFFFFF"/>
              </w:rPr>
            </w:pPr>
            <w:r w:rsidRPr="00EA202E">
              <w:rPr>
                <w:sz w:val="20"/>
                <w:shd w:val="clear" w:color="auto" w:fill="FFFFFF"/>
              </w:rPr>
              <w:t>Orca whales</w:t>
            </w:r>
          </w:p>
        </w:tc>
        <w:tc>
          <w:tcPr>
            <w:tcW w:w="3080" w:type="dxa"/>
            <w:vAlign w:val="bottom"/>
          </w:tcPr>
          <w:p w14:paraId="7FC52C29" w14:textId="60298922" w:rsidR="00751390" w:rsidRPr="00EA202E" w:rsidRDefault="00751390" w:rsidP="00EA202E">
            <w:pPr>
              <w:keepNext/>
              <w:keepLines/>
              <w:widowControl/>
              <w:spacing w:line="240" w:lineRule="auto"/>
              <w:rPr>
                <w:sz w:val="20"/>
                <w:shd w:val="clear" w:color="auto" w:fill="FFFFFF"/>
              </w:rPr>
            </w:pPr>
            <w:r w:rsidRPr="00EA202E">
              <w:rPr>
                <w:rFonts w:ascii="Calibri" w:hAnsi="Calibri"/>
                <w:sz w:val="20"/>
              </w:rPr>
              <w:t>Parks and green space</w:t>
            </w:r>
          </w:p>
        </w:tc>
        <w:tc>
          <w:tcPr>
            <w:tcW w:w="3080" w:type="dxa"/>
          </w:tcPr>
          <w:p w14:paraId="2981C1B1" w14:textId="5C4805BE" w:rsidR="00751390" w:rsidRPr="00412B62" w:rsidRDefault="00751390" w:rsidP="00412B62">
            <w:pPr>
              <w:pStyle w:val="Default"/>
              <w:rPr>
                <w:sz w:val="20"/>
                <w:szCs w:val="20"/>
              </w:rPr>
            </w:pPr>
            <w:r>
              <w:rPr>
                <w:sz w:val="20"/>
                <w:szCs w:val="20"/>
              </w:rPr>
              <w:t xml:space="preserve">Wetlands (water quality and habitat conditions) </w:t>
            </w:r>
          </w:p>
        </w:tc>
      </w:tr>
      <w:tr w:rsidR="00751390" w:rsidRPr="002639B0" w14:paraId="55C2F0EC" w14:textId="71F07412" w:rsidTr="00AE08E2">
        <w:tc>
          <w:tcPr>
            <w:tcW w:w="3416" w:type="dxa"/>
          </w:tcPr>
          <w:p w14:paraId="5B4734D7" w14:textId="77777777" w:rsidR="00751390" w:rsidRPr="00EA202E" w:rsidRDefault="00751390" w:rsidP="00EA202E">
            <w:pPr>
              <w:keepNext/>
              <w:keepLines/>
              <w:widowControl/>
              <w:spacing w:line="240" w:lineRule="auto"/>
              <w:rPr>
                <w:sz w:val="20"/>
                <w:shd w:val="clear" w:color="auto" w:fill="FFFFFF"/>
              </w:rPr>
            </w:pPr>
            <w:r w:rsidRPr="00EA202E">
              <w:rPr>
                <w:sz w:val="20"/>
                <w:shd w:val="clear" w:color="auto" w:fill="FFFFFF"/>
              </w:rPr>
              <w:t>Native shellfish</w:t>
            </w:r>
          </w:p>
        </w:tc>
        <w:tc>
          <w:tcPr>
            <w:tcW w:w="3080" w:type="dxa"/>
            <w:vAlign w:val="bottom"/>
          </w:tcPr>
          <w:p w14:paraId="01B1781B" w14:textId="347EC67A" w:rsidR="00751390" w:rsidRPr="00EA202E" w:rsidRDefault="00751390" w:rsidP="00EA202E">
            <w:pPr>
              <w:keepNext/>
              <w:keepLines/>
              <w:widowControl/>
              <w:spacing w:line="240" w:lineRule="auto"/>
              <w:rPr>
                <w:sz w:val="20"/>
                <w:shd w:val="clear" w:color="auto" w:fill="FFFFFF"/>
              </w:rPr>
            </w:pPr>
            <w:r w:rsidRPr="00EA202E">
              <w:rPr>
                <w:rFonts w:ascii="Calibri" w:hAnsi="Calibri"/>
                <w:sz w:val="20"/>
              </w:rPr>
              <w:t>Functional Diversity (Pollinators, seed dispersers, Predators)</w:t>
            </w:r>
          </w:p>
        </w:tc>
        <w:tc>
          <w:tcPr>
            <w:tcW w:w="3080" w:type="dxa"/>
          </w:tcPr>
          <w:p w14:paraId="30A1CF66" w14:textId="02260109" w:rsidR="00751390" w:rsidRPr="00412B62" w:rsidRDefault="00751390" w:rsidP="00412B62">
            <w:pPr>
              <w:pStyle w:val="Default"/>
              <w:rPr>
                <w:sz w:val="20"/>
                <w:szCs w:val="20"/>
              </w:rPr>
            </w:pPr>
            <w:r>
              <w:rPr>
                <w:sz w:val="20"/>
                <w:szCs w:val="20"/>
              </w:rPr>
              <w:t xml:space="preserve">Invertebrate communities </w:t>
            </w:r>
          </w:p>
        </w:tc>
      </w:tr>
      <w:tr w:rsidR="00751390" w:rsidRPr="002639B0" w14:paraId="789B9B34" w14:textId="4A9E5572" w:rsidTr="00AE08E2">
        <w:tc>
          <w:tcPr>
            <w:tcW w:w="3416" w:type="dxa"/>
          </w:tcPr>
          <w:p w14:paraId="32A17F40" w14:textId="77777777" w:rsidR="00751390" w:rsidRPr="00EA202E" w:rsidRDefault="00751390" w:rsidP="00EA202E">
            <w:pPr>
              <w:keepNext/>
              <w:keepLines/>
              <w:widowControl/>
              <w:spacing w:line="240" w:lineRule="auto"/>
              <w:rPr>
                <w:sz w:val="20"/>
                <w:shd w:val="clear" w:color="auto" w:fill="FFFFFF"/>
              </w:rPr>
            </w:pPr>
            <w:r w:rsidRPr="00EA202E">
              <w:rPr>
                <w:sz w:val="20"/>
                <w:shd w:val="clear" w:color="auto" w:fill="FFFFFF"/>
              </w:rPr>
              <w:t>Nearshore birds</w:t>
            </w:r>
          </w:p>
        </w:tc>
        <w:tc>
          <w:tcPr>
            <w:tcW w:w="3080" w:type="dxa"/>
            <w:vAlign w:val="bottom"/>
          </w:tcPr>
          <w:p w14:paraId="4F2B750C" w14:textId="7E910A16" w:rsidR="00751390" w:rsidRPr="00EA202E" w:rsidRDefault="00751390" w:rsidP="00EA202E">
            <w:pPr>
              <w:keepNext/>
              <w:keepLines/>
              <w:widowControl/>
              <w:spacing w:line="240" w:lineRule="auto"/>
              <w:rPr>
                <w:sz w:val="20"/>
                <w:shd w:val="clear" w:color="auto" w:fill="FFFFFF"/>
              </w:rPr>
            </w:pPr>
            <w:r w:rsidRPr="00EA202E">
              <w:rPr>
                <w:rFonts w:ascii="Calibri" w:hAnsi="Calibri"/>
                <w:sz w:val="20"/>
              </w:rPr>
              <w:t>Ecosystem diversity</w:t>
            </w:r>
          </w:p>
        </w:tc>
        <w:tc>
          <w:tcPr>
            <w:tcW w:w="3080" w:type="dxa"/>
          </w:tcPr>
          <w:p w14:paraId="3740C4A4" w14:textId="4741355A" w:rsidR="00751390" w:rsidRPr="00412B62" w:rsidRDefault="00751390" w:rsidP="00412B62">
            <w:pPr>
              <w:pStyle w:val="Default"/>
              <w:rPr>
                <w:sz w:val="20"/>
                <w:szCs w:val="20"/>
              </w:rPr>
            </w:pPr>
            <w:r>
              <w:rPr>
                <w:sz w:val="20"/>
                <w:szCs w:val="20"/>
              </w:rPr>
              <w:t xml:space="preserve">Fish species </w:t>
            </w:r>
          </w:p>
        </w:tc>
      </w:tr>
      <w:tr w:rsidR="00751390" w:rsidRPr="002639B0" w14:paraId="72D93D86" w14:textId="4AC49355" w:rsidTr="00AE08E2">
        <w:tc>
          <w:tcPr>
            <w:tcW w:w="3416" w:type="dxa"/>
          </w:tcPr>
          <w:p w14:paraId="20EE5901" w14:textId="4A85B68E" w:rsidR="00751390" w:rsidRPr="00EA202E" w:rsidRDefault="00751390" w:rsidP="00EA202E">
            <w:pPr>
              <w:keepNext/>
              <w:keepLines/>
              <w:widowControl/>
              <w:spacing w:line="240" w:lineRule="auto"/>
              <w:rPr>
                <w:sz w:val="20"/>
                <w:shd w:val="clear" w:color="auto" w:fill="FFFFFF"/>
              </w:rPr>
            </w:pPr>
            <w:proofErr w:type="spellStart"/>
            <w:r w:rsidRPr="00EA202E">
              <w:rPr>
                <w:sz w:val="20"/>
                <w:shd w:val="clear" w:color="auto" w:fill="FFFFFF"/>
              </w:rPr>
              <w:t>Embayments</w:t>
            </w:r>
            <w:proofErr w:type="spellEnd"/>
          </w:p>
        </w:tc>
        <w:tc>
          <w:tcPr>
            <w:tcW w:w="3080" w:type="dxa"/>
            <w:vAlign w:val="bottom"/>
          </w:tcPr>
          <w:p w14:paraId="24822D19" w14:textId="1D3CF10B" w:rsidR="00751390" w:rsidRPr="00EA202E" w:rsidRDefault="00751390" w:rsidP="00EA202E">
            <w:pPr>
              <w:keepNext/>
              <w:keepLines/>
              <w:widowControl/>
              <w:spacing w:line="240" w:lineRule="auto"/>
              <w:rPr>
                <w:sz w:val="20"/>
                <w:shd w:val="clear" w:color="auto" w:fill="FFFFFF"/>
              </w:rPr>
            </w:pPr>
            <w:r>
              <w:rPr>
                <w:rFonts w:ascii="Calibri" w:hAnsi="Calibri"/>
                <w:sz w:val="20"/>
              </w:rPr>
              <w:t>Wildlife</w:t>
            </w:r>
            <w:r w:rsidRPr="00EA202E">
              <w:rPr>
                <w:rFonts w:ascii="Calibri" w:hAnsi="Calibri"/>
                <w:sz w:val="20"/>
              </w:rPr>
              <w:t xml:space="preserve"> species</w:t>
            </w:r>
          </w:p>
        </w:tc>
        <w:tc>
          <w:tcPr>
            <w:tcW w:w="3080" w:type="dxa"/>
          </w:tcPr>
          <w:p w14:paraId="7254EFDA" w14:textId="77777777" w:rsidR="00751390" w:rsidRPr="00EA202E" w:rsidRDefault="00751390" w:rsidP="00EA202E">
            <w:pPr>
              <w:keepNext/>
              <w:keepLines/>
              <w:widowControl/>
              <w:spacing w:line="240" w:lineRule="auto"/>
              <w:rPr>
                <w:sz w:val="20"/>
                <w:shd w:val="clear" w:color="auto" w:fill="FFFFFF"/>
              </w:rPr>
            </w:pPr>
          </w:p>
        </w:tc>
      </w:tr>
      <w:tr w:rsidR="00751390" w:rsidRPr="002639B0" w14:paraId="76A5858A" w14:textId="3F828571" w:rsidTr="00AE08E2">
        <w:tc>
          <w:tcPr>
            <w:tcW w:w="3416" w:type="dxa"/>
          </w:tcPr>
          <w:p w14:paraId="6D412140" w14:textId="5D48BCF4" w:rsidR="00751390" w:rsidRPr="00EA202E" w:rsidRDefault="00751390" w:rsidP="00EA202E">
            <w:pPr>
              <w:keepNext/>
              <w:keepLines/>
              <w:widowControl/>
              <w:spacing w:line="240" w:lineRule="auto"/>
              <w:rPr>
                <w:sz w:val="20"/>
                <w:shd w:val="clear" w:color="auto" w:fill="FFFFFF"/>
              </w:rPr>
            </w:pPr>
            <w:r w:rsidRPr="00EA202E">
              <w:rPr>
                <w:sz w:val="20"/>
                <w:shd w:val="clear" w:color="auto" w:fill="FFFFFF"/>
              </w:rPr>
              <w:t>Tidal wetlands</w:t>
            </w:r>
          </w:p>
        </w:tc>
        <w:tc>
          <w:tcPr>
            <w:tcW w:w="3080" w:type="dxa"/>
            <w:vAlign w:val="bottom"/>
          </w:tcPr>
          <w:p w14:paraId="3E7804F1" w14:textId="1DFEC7FB" w:rsidR="00751390" w:rsidRPr="00EA202E" w:rsidRDefault="00751390" w:rsidP="00EA202E">
            <w:pPr>
              <w:keepNext/>
              <w:keepLines/>
              <w:widowControl/>
              <w:spacing w:line="240" w:lineRule="auto"/>
              <w:rPr>
                <w:sz w:val="20"/>
                <w:shd w:val="clear" w:color="auto" w:fill="FFFFFF"/>
              </w:rPr>
            </w:pPr>
          </w:p>
        </w:tc>
        <w:tc>
          <w:tcPr>
            <w:tcW w:w="3080" w:type="dxa"/>
          </w:tcPr>
          <w:p w14:paraId="0D4614A6" w14:textId="77777777" w:rsidR="00751390" w:rsidRPr="00EA202E" w:rsidRDefault="00751390" w:rsidP="00EA202E">
            <w:pPr>
              <w:keepNext/>
              <w:keepLines/>
              <w:widowControl/>
              <w:spacing w:line="240" w:lineRule="auto"/>
              <w:rPr>
                <w:sz w:val="20"/>
                <w:shd w:val="clear" w:color="auto" w:fill="FFFFFF"/>
              </w:rPr>
            </w:pPr>
          </w:p>
        </w:tc>
      </w:tr>
      <w:tr w:rsidR="00751390" w:rsidRPr="002639B0" w14:paraId="2BBC74DC" w14:textId="77777777" w:rsidTr="00AE08E2">
        <w:tc>
          <w:tcPr>
            <w:tcW w:w="3416" w:type="dxa"/>
          </w:tcPr>
          <w:p w14:paraId="608F54A4" w14:textId="77777777" w:rsidR="00751390" w:rsidRPr="00EA202E" w:rsidRDefault="00751390" w:rsidP="00EA202E">
            <w:pPr>
              <w:keepNext/>
              <w:keepLines/>
              <w:widowControl/>
              <w:spacing w:line="240" w:lineRule="auto"/>
              <w:rPr>
                <w:sz w:val="20"/>
                <w:shd w:val="clear" w:color="auto" w:fill="FFFFFF"/>
              </w:rPr>
            </w:pPr>
          </w:p>
        </w:tc>
        <w:tc>
          <w:tcPr>
            <w:tcW w:w="3080" w:type="dxa"/>
            <w:vAlign w:val="bottom"/>
          </w:tcPr>
          <w:p w14:paraId="75AEFB14" w14:textId="6018453D" w:rsidR="00751390" w:rsidRPr="00EA202E" w:rsidRDefault="00751390" w:rsidP="00EA202E">
            <w:pPr>
              <w:keepNext/>
              <w:keepLines/>
              <w:widowControl/>
              <w:spacing w:line="240" w:lineRule="auto"/>
              <w:rPr>
                <w:sz w:val="20"/>
                <w:shd w:val="clear" w:color="auto" w:fill="FFFFFF"/>
              </w:rPr>
            </w:pPr>
          </w:p>
        </w:tc>
        <w:tc>
          <w:tcPr>
            <w:tcW w:w="3080" w:type="dxa"/>
          </w:tcPr>
          <w:p w14:paraId="54E336DC" w14:textId="77777777" w:rsidR="00751390" w:rsidRPr="00EA202E" w:rsidRDefault="00751390" w:rsidP="00EA202E">
            <w:pPr>
              <w:keepNext/>
              <w:keepLines/>
              <w:widowControl/>
              <w:spacing w:line="240" w:lineRule="auto"/>
              <w:rPr>
                <w:sz w:val="20"/>
                <w:shd w:val="clear" w:color="auto" w:fill="FFFFFF"/>
              </w:rPr>
            </w:pPr>
          </w:p>
        </w:tc>
      </w:tr>
      <w:tr w:rsidR="00751390" w:rsidRPr="002639B0" w14:paraId="2A2D4B8B" w14:textId="77777777" w:rsidTr="00AE08E2">
        <w:tc>
          <w:tcPr>
            <w:tcW w:w="3416" w:type="dxa"/>
          </w:tcPr>
          <w:p w14:paraId="0ABF16DD" w14:textId="77777777" w:rsidR="00751390" w:rsidRPr="00EA202E" w:rsidRDefault="00751390" w:rsidP="00EA202E">
            <w:pPr>
              <w:keepNext/>
              <w:keepLines/>
              <w:widowControl/>
              <w:spacing w:line="240" w:lineRule="auto"/>
              <w:rPr>
                <w:sz w:val="20"/>
                <w:shd w:val="clear" w:color="auto" w:fill="FFFFFF"/>
              </w:rPr>
            </w:pPr>
          </w:p>
        </w:tc>
        <w:tc>
          <w:tcPr>
            <w:tcW w:w="3080" w:type="dxa"/>
            <w:vAlign w:val="bottom"/>
          </w:tcPr>
          <w:p w14:paraId="5FDCD00F" w14:textId="400D164D" w:rsidR="00751390" w:rsidRPr="00EA202E" w:rsidRDefault="00751390" w:rsidP="00EA202E">
            <w:pPr>
              <w:keepNext/>
              <w:keepLines/>
              <w:widowControl/>
              <w:spacing w:line="240" w:lineRule="auto"/>
              <w:rPr>
                <w:sz w:val="20"/>
                <w:shd w:val="clear" w:color="auto" w:fill="FFFFFF"/>
              </w:rPr>
            </w:pPr>
          </w:p>
        </w:tc>
        <w:tc>
          <w:tcPr>
            <w:tcW w:w="3080" w:type="dxa"/>
          </w:tcPr>
          <w:p w14:paraId="3526BCFF" w14:textId="77777777" w:rsidR="00751390" w:rsidRPr="00EA202E" w:rsidRDefault="00751390" w:rsidP="00EA202E">
            <w:pPr>
              <w:keepNext/>
              <w:keepLines/>
              <w:widowControl/>
              <w:spacing w:line="240" w:lineRule="auto"/>
              <w:rPr>
                <w:sz w:val="20"/>
                <w:shd w:val="clear" w:color="auto" w:fill="FFFFFF"/>
              </w:rPr>
            </w:pPr>
          </w:p>
        </w:tc>
      </w:tr>
    </w:tbl>
    <w:p w14:paraId="06016597" w14:textId="143A0BEE" w:rsidR="003D6E2C" w:rsidRDefault="003D6E2C" w:rsidP="003D6E2C">
      <w:pPr>
        <w:pStyle w:val="Heading3"/>
        <w:rPr>
          <w:shd w:val="clear" w:color="auto" w:fill="FFFFFF"/>
        </w:rPr>
      </w:pPr>
      <w:bookmarkStart w:id="18" w:name="_Toc256149270"/>
      <w:r>
        <w:rPr>
          <w:shd w:val="clear" w:color="auto" w:fill="FFFFFF"/>
        </w:rPr>
        <w:t xml:space="preserve">Pressures and </w:t>
      </w:r>
      <w:r w:rsidR="00FD0308">
        <w:rPr>
          <w:shd w:val="clear" w:color="auto" w:fill="FFFFFF"/>
        </w:rPr>
        <w:t>stressors taxonomy used in the assessment</w:t>
      </w:r>
      <w:bookmarkEnd w:id="18"/>
    </w:p>
    <w:p w14:paraId="7EA3087A" w14:textId="58DF83B4" w:rsidR="003D6E2C" w:rsidRPr="00422A68" w:rsidRDefault="00256C7A" w:rsidP="003D6E2C">
      <w:pPr>
        <w:widowControl/>
        <w:autoSpaceDE/>
        <w:autoSpaceDN/>
        <w:adjustRightInd/>
        <w:spacing w:before="0" w:after="0"/>
        <w:rPr>
          <w:rFonts w:ascii="Times" w:hAnsi="Times"/>
          <w:color w:val="auto"/>
          <w:sz w:val="20"/>
          <w:szCs w:val="20"/>
        </w:rPr>
      </w:pPr>
      <w:r>
        <w:t>As described in the Introduction, w</w:t>
      </w:r>
      <w:r w:rsidR="003D6E2C" w:rsidRPr="00730CBA">
        <w:t xml:space="preserve">e </w:t>
      </w:r>
      <w:r w:rsidR="003D6E2C">
        <w:t>make use of</w:t>
      </w:r>
      <w:r w:rsidR="003D6E2C" w:rsidRPr="00730CBA">
        <w:t xml:space="preserve"> an updated taxonomy of pressures, as developed and revised by </w:t>
      </w:r>
      <w:r>
        <w:t xml:space="preserve">the Puget Sound Partnership </w:t>
      </w:r>
      <w:r w:rsidR="003D6E2C" w:rsidRPr="00730CBA">
        <w:t>and its partners</w:t>
      </w:r>
      <w:r>
        <w:t>, through a progression of workshops, projects, workgroup efforts, and associated</w:t>
      </w:r>
      <w:r w:rsidR="003D6E2C" w:rsidRPr="00730CBA">
        <w:t xml:space="preserve"> publications over the past </w:t>
      </w:r>
      <w:r w:rsidR="003D6E2C">
        <w:t>several</w:t>
      </w:r>
      <w:r w:rsidR="003D6E2C" w:rsidRPr="00730CBA">
        <w:t xml:space="preserve"> years</w:t>
      </w:r>
      <w:r w:rsidR="003D6E2C">
        <w:t xml:space="preserve"> (</w:t>
      </w:r>
      <w:proofErr w:type="spellStart"/>
      <w:r w:rsidR="003D6E2C">
        <w:t>Neuman</w:t>
      </w:r>
      <w:proofErr w:type="spellEnd"/>
      <w:r w:rsidR="003D6E2C">
        <w:t xml:space="preserve"> et al., 2009; Stiles et al., 2013).  Where necessary, we depart from the 2013 pressures taxonomy</w:t>
      </w:r>
      <w:r>
        <w:t>, as described below</w:t>
      </w:r>
      <w:r w:rsidR="003D6E2C">
        <w:t>.</w:t>
      </w:r>
    </w:p>
    <w:p w14:paraId="6774C3F5" w14:textId="19978AAF" w:rsidR="003D6E2C" w:rsidRDefault="003D6E2C" w:rsidP="003D6E2C">
      <w:pPr>
        <w:rPr>
          <w:rFonts w:eastAsiaTheme="minorEastAsia" w:cstheme="minorBidi"/>
          <w:color w:val="auto"/>
        </w:rPr>
      </w:pPr>
      <w:r>
        <w:rPr>
          <w:rFonts w:eastAsiaTheme="minorEastAsia" w:cstheme="minorBidi"/>
          <w:color w:val="auto"/>
        </w:rPr>
        <w:t xml:space="preserve">At the highest level, the </w:t>
      </w:r>
      <w:r w:rsidR="00256C7A">
        <w:rPr>
          <w:rFonts w:eastAsiaTheme="minorEastAsia" w:cstheme="minorBidi"/>
          <w:color w:val="auto"/>
        </w:rPr>
        <w:t xml:space="preserve">pressures </w:t>
      </w:r>
      <w:r>
        <w:rPr>
          <w:rFonts w:eastAsiaTheme="minorEastAsia" w:cstheme="minorBidi"/>
          <w:color w:val="auto"/>
        </w:rPr>
        <w:t xml:space="preserve">taxonomy includes 29 pressure classes grouped into ten pressure categories (Table </w:t>
      </w:r>
      <w:r w:rsidR="00892D05">
        <w:rPr>
          <w:rFonts w:eastAsiaTheme="minorEastAsia" w:cstheme="minorBidi"/>
          <w:color w:val="auto"/>
        </w:rPr>
        <w:t>6</w:t>
      </w:r>
      <w:r>
        <w:rPr>
          <w:rFonts w:eastAsiaTheme="minorEastAsia" w:cstheme="minorBidi"/>
          <w:color w:val="auto"/>
        </w:rPr>
        <w:t>).</w:t>
      </w:r>
      <w:r w:rsidR="00256C7A">
        <w:rPr>
          <w:rFonts w:eastAsiaTheme="minorEastAsia" w:cstheme="minorBidi"/>
          <w:color w:val="auto"/>
        </w:rPr>
        <w:t xml:space="preserve">  We include an eleventh pressure category to account for climate change-related pressures and stressors, generating at total of 32 pressure classes.</w:t>
      </w:r>
    </w:p>
    <w:tbl>
      <w:tblPr>
        <w:tblStyle w:val="TableGrid"/>
        <w:tblpPr w:leftFromText="187" w:rightFromText="187" w:vertAnchor="text" w:horzAnchor="margin" w:tblpY="9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3D6E2C" w:rsidRPr="00274DC0" w14:paraId="488EBDA9" w14:textId="77777777" w:rsidTr="00256C7A">
        <w:trPr>
          <w:cantSplit/>
        </w:trPr>
        <w:tc>
          <w:tcPr>
            <w:tcW w:w="4608" w:type="dxa"/>
          </w:tcPr>
          <w:p w14:paraId="058E6EF7" w14:textId="77777777" w:rsidR="003D6E2C" w:rsidRPr="00274DC0" w:rsidRDefault="003D6E2C" w:rsidP="00256C7A">
            <w:pPr>
              <w:pStyle w:val="ListParagraph"/>
              <w:numPr>
                <w:ilvl w:val="0"/>
                <w:numId w:val="1"/>
              </w:numPr>
              <w:spacing w:before="0"/>
              <w:ind w:left="450"/>
            </w:pPr>
            <w:r w:rsidRPr="00274DC0">
              <w:rPr>
                <w:b/>
              </w:rPr>
              <w:lastRenderedPageBreak/>
              <w:t>Residential &amp; Commercial Development</w:t>
            </w:r>
            <w:r w:rsidRPr="00274DC0">
              <w:br/>
              <w:t>1.1 Residential &amp; Commercial Development</w:t>
            </w:r>
          </w:p>
          <w:p w14:paraId="4443AEDB" w14:textId="77777777" w:rsidR="003D6E2C" w:rsidRPr="00274DC0" w:rsidRDefault="003D6E2C" w:rsidP="00256C7A">
            <w:pPr>
              <w:pStyle w:val="ListParagraph"/>
              <w:numPr>
                <w:ilvl w:val="0"/>
                <w:numId w:val="1"/>
              </w:numPr>
              <w:ind w:left="450"/>
            </w:pPr>
            <w:r w:rsidRPr="00274DC0">
              <w:rPr>
                <w:b/>
              </w:rPr>
              <w:t>Agriculture &amp; Aquaculture</w:t>
            </w:r>
            <w:r w:rsidRPr="00274DC0">
              <w:br/>
              <w:t>2.1 Agriculture</w:t>
            </w:r>
            <w:r w:rsidRPr="00274DC0">
              <w:br/>
              <w:t>2.2 Livestock Grazing</w:t>
            </w:r>
            <w:r w:rsidRPr="00274DC0">
              <w:br/>
              <w:t>2.3 Fin Fish Aquaculture</w:t>
            </w:r>
            <w:r w:rsidRPr="00274DC0">
              <w:br/>
              <w:t>2.4 Shellfish Aquaculture</w:t>
            </w:r>
            <w:r w:rsidRPr="00274DC0">
              <w:br/>
              <w:t>2.5 Timer Harvesting</w:t>
            </w:r>
          </w:p>
          <w:p w14:paraId="7397D914" w14:textId="77777777" w:rsidR="003D6E2C" w:rsidRPr="00274DC0" w:rsidRDefault="003D6E2C" w:rsidP="00256C7A">
            <w:pPr>
              <w:pStyle w:val="ListParagraph"/>
              <w:numPr>
                <w:ilvl w:val="0"/>
                <w:numId w:val="1"/>
              </w:numPr>
              <w:ind w:left="450"/>
            </w:pPr>
            <w:r w:rsidRPr="00274DC0">
              <w:rPr>
                <w:b/>
              </w:rPr>
              <w:t>Energy Production &amp; Mining</w:t>
            </w:r>
            <w:r w:rsidRPr="00274DC0">
              <w:br/>
              <w:t>3.1 Energy Production &amp; Energy Emissions</w:t>
            </w:r>
            <w:r w:rsidRPr="00274DC0">
              <w:br/>
              <w:t>3.2 Mineral &amp; Gravel Mining</w:t>
            </w:r>
          </w:p>
          <w:p w14:paraId="236FC615" w14:textId="77777777" w:rsidR="003D6E2C" w:rsidRPr="00274DC0" w:rsidRDefault="003D6E2C" w:rsidP="00256C7A">
            <w:pPr>
              <w:pStyle w:val="ListParagraph"/>
              <w:numPr>
                <w:ilvl w:val="0"/>
                <w:numId w:val="1"/>
              </w:numPr>
              <w:ind w:left="450"/>
            </w:pPr>
            <w:r w:rsidRPr="00274DC0">
              <w:rPr>
                <w:b/>
              </w:rPr>
              <w:t>Transportation &amp; Service Corridors</w:t>
            </w:r>
            <w:r w:rsidRPr="00274DC0">
              <w:br/>
              <w:t>4.1 Transportation &amp; Service Corridors</w:t>
            </w:r>
            <w:r w:rsidRPr="00274DC0">
              <w:br/>
              <w:t>4.2 Dredging &amp; Dredged Materials</w:t>
            </w:r>
          </w:p>
          <w:p w14:paraId="120EEA2D" w14:textId="77777777" w:rsidR="003D6E2C" w:rsidRPr="00274DC0" w:rsidRDefault="003D6E2C" w:rsidP="00256C7A">
            <w:pPr>
              <w:pStyle w:val="ListParagraph"/>
              <w:numPr>
                <w:ilvl w:val="0"/>
                <w:numId w:val="1"/>
              </w:numPr>
              <w:ind w:left="450"/>
            </w:pPr>
            <w:r w:rsidRPr="00274DC0">
              <w:rPr>
                <w:b/>
              </w:rPr>
              <w:t>Biological Resource Use</w:t>
            </w:r>
            <w:r w:rsidRPr="00274DC0">
              <w:rPr>
                <w:b/>
              </w:rPr>
              <w:br/>
            </w:r>
            <w:r w:rsidRPr="00274DC0">
              <w:t>5.1 Animal Harvesting (Aquatic)</w:t>
            </w:r>
            <w:r w:rsidRPr="00274DC0">
              <w:br/>
              <w:t>5.2 Animal Harvesting (Terrestrial)</w:t>
            </w:r>
          </w:p>
          <w:p w14:paraId="613A6BF4" w14:textId="77777777" w:rsidR="003D6E2C" w:rsidRPr="00274DC0" w:rsidRDefault="003D6E2C" w:rsidP="00256C7A">
            <w:pPr>
              <w:pStyle w:val="ListParagraph"/>
              <w:numPr>
                <w:ilvl w:val="0"/>
                <w:numId w:val="1"/>
              </w:numPr>
              <w:ind w:left="450"/>
            </w:pPr>
            <w:r w:rsidRPr="00274DC0">
              <w:rPr>
                <w:b/>
              </w:rPr>
              <w:t>Human Intrusions &amp; Disturbances</w:t>
            </w:r>
            <w:r w:rsidRPr="00274DC0">
              <w:br/>
              <w:t>6.1 Recreational Activities</w:t>
            </w:r>
            <w:r w:rsidRPr="00274DC0">
              <w:br/>
              <w:t>6.2 Military Exercises</w:t>
            </w:r>
            <w:r>
              <w:br/>
              <w:t>6.3</w:t>
            </w:r>
            <w:r w:rsidRPr="00274DC0">
              <w:t xml:space="preserve"> Derelict Fishing Gear</w:t>
            </w:r>
          </w:p>
        </w:tc>
        <w:tc>
          <w:tcPr>
            <w:tcW w:w="4968" w:type="dxa"/>
          </w:tcPr>
          <w:p w14:paraId="194C64E8" w14:textId="77777777" w:rsidR="003D6E2C" w:rsidRDefault="003D6E2C" w:rsidP="00256C7A">
            <w:pPr>
              <w:pStyle w:val="ListParagraph"/>
              <w:numPr>
                <w:ilvl w:val="0"/>
                <w:numId w:val="1"/>
              </w:numPr>
              <w:ind w:left="342"/>
            </w:pPr>
            <w:r w:rsidRPr="00274DC0">
              <w:rPr>
                <w:b/>
              </w:rPr>
              <w:t>Natural System Modifications</w:t>
            </w:r>
            <w:r w:rsidRPr="00274DC0">
              <w:br/>
              <w:t>7.1 Dams</w:t>
            </w:r>
            <w:r w:rsidRPr="00274DC0">
              <w:br/>
              <w:t>7.2 Culverts</w:t>
            </w:r>
            <w:r w:rsidRPr="00274DC0">
              <w:br/>
              <w:t>7.3 Freshwater Levees &amp; Floodgates</w:t>
            </w:r>
            <w:r w:rsidRPr="00274DC0">
              <w:br/>
              <w:t xml:space="preserve">7.4 Marine Water Levees &amp; </w:t>
            </w:r>
            <w:proofErr w:type="spellStart"/>
            <w:r w:rsidRPr="00274DC0">
              <w:t>Tidegates</w:t>
            </w:r>
            <w:proofErr w:type="spellEnd"/>
          </w:p>
          <w:p w14:paraId="22C7D606" w14:textId="77777777" w:rsidR="003D6E2C" w:rsidRPr="00274DC0" w:rsidRDefault="003D6E2C" w:rsidP="00256C7A">
            <w:pPr>
              <w:pStyle w:val="ListParagraph"/>
              <w:ind w:left="342"/>
            </w:pPr>
            <w:r>
              <w:t>7.5</w:t>
            </w:r>
            <w:r w:rsidRPr="00274DC0">
              <w:t xml:space="preserve"> </w:t>
            </w:r>
            <w:r>
              <w:t>Freshwater Shoreline Infrastructure</w:t>
            </w:r>
            <w:r>
              <w:br/>
              <w:t>7.6</w:t>
            </w:r>
            <w:r w:rsidRPr="00274DC0">
              <w:t xml:space="preserve"> </w:t>
            </w:r>
            <w:r>
              <w:t xml:space="preserve">Marine </w:t>
            </w:r>
            <w:r w:rsidRPr="00274DC0">
              <w:t>Shoreline Infrastructure</w:t>
            </w:r>
          </w:p>
          <w:p w14:paraId="676A716E" w14:textId="77777777" w:rsidR="003D6E2C" w:rsidRPr="00274DC0" w:rsidRDefault="003D6E2C" w:rsidP="00256C7A">
            <w:pPr>
              <w:pStyle w:val="ListParagraph"/>
              <w:numPr>
                <w:ilvl w:val="0"/>
                <w:numId w:val="1"/>
              </w:numPr>
              <w:ind w:left="342"/>
            </w:pPr>
            <w:r w:rsidRPr="00274DC0">
              <w:rPr>
                <w:b/>
              </w:rPr>
              <w:t>Invasive &amp; Other Problematic Species</w:t>
            </w:r>
            <w:r w:rsidRPr="00274DC0">
              <w:br/>
              <w:t>8.1 Invasive Species (Aquatic, Terrestrial)</w:t>
            </w:r>
          </w:p>
          <w:p w14:paraId="798E6D36" w14:textId="77777777" w:rsidR="003D6E2C" w:rsidRPr="00274DC0" w:rsidRDefault="003D6E2C" w:rsidP="00256C7A">
            <w:pPr>
              <w:pStyle w:val="ListParagraph"/>
              <w:numPr>
                <w:ilvl w:val="0"/>
                <w:numId w:val="1"/>
              </w:numPr>
              <w:ind w:left="342"/>
            </w:pPr>
            <w:r w:rsidRPr="00274DC0">
              <w:rPr>
                <w:b/>
              </w:rPr>
              <w:t>Pollution</w:t>
            </w:r>
            <w:r w:rsidRPr="00274DC0">
              <w:br/>
              <w:t>9.1 Runoff from the Built Environment</w:t>
            </w:r>
            <w:r w:rsidRPr="00274DC0">
              <w:br/>
              <w:t>9.2 Industrial, Domestic &amp; Municipal Wastewater</w:t>
            </w:r>
            <w:r w:rsidRPr="00274DC0">
              <w:br/>
              <w:t>9.3 Onsite Sewage Systems (OSS)</w:t>
            </w:r>
            <w:r w:rsidRPr="00274DC0">
              <w:br/>
              <w:t>9.4 Combined Sewer Overflows (CSOs)</w:t>
            </w:r>
            <w:r w:rsidRPr="00274DC0">
              <w:br/>
              <w:t>9.5 Toxics &amp; Legacy Contaminants</w:t>
            </w:r>
            <w:r w:rsidRPr="00274DC0">
              <w:br/>
              <w:t>9.6 Oil &amp; Hazardous Spills</w:t>
            </w:r>
          </w:p>
          <w:p w14:paraId="6800B22B" w14:textId="77777777" w:rsidR="003D6E2C" w:rsidRDefault="003D6E2C" w:rsidP="00256C7A">
            <w:pPr>
              <w:pStyle w:val="ListParagraph"/>
              <w:numPr>
                <w:ilvl w:val="0"/>
                <w:numId w:val="1"/>
              </w:numPr>
              <w:ind w:left="342"/>
            </w:pPr>
            <w:r w:rsidRPr="00274DC0">
              <w:rPr>
                <w:b/>
              </w:rPr>
              <w:t>Water Withdrawals &amp; Diversions</w:t>
            </w:r>
            <w:r w:rsidRPr="00274DC0">
              <w:br/>
              <w:t>10.1 Water Withdrawals &amp; Diversions</w:t>
            </w:r>
          </w:p>
          <w:p w14:paraId="3178BC3D" w14:textId="77777777" w:rsidR="00707B54" w:rsidRPr="00707B54" w:rsidRDefault="00707B54" w:rsidP="00256C7A">
            <w:pPr>
              <w:pStyle w:val="ListParagraph"/>
              <w:numPr>
                <w:ilvl w:val="0"/>
                <w:numId w:val="1"/>
              </w:numPr>
              <w:ind w:left="342"/>
            </w:pPr>
            <w:r>
              <w:rPr>
                <w:b/>
              </w:rPr>
              <w:t>Climate Change</w:t>
            </w:r>
          </w:p>
          <w:p w14:paraId="7FDA4CFE" w14:textId="46335D2B" w:rsidR="00707B54" w:rsidRDefault="00707B54" w:rsidP="00256C7A">
            <w:pPr>
              <w:pStyle w:val="ListParagraph"/>
              <w:ind w:left="342"/>
            </w:pPr>
            <w:r>
              <w:t>11.1</w:t>
            </w:r>
            <w:r w:rsidRPr="00274DC0">
              <w:t xml:space="preserve"> </w:t>
            </w:r>
            <w:r w:rsidR="005D56C7">
              <w:t>Physico</w:t>
            </w:r>
            <w:r w:rsidR="00904E54">
              <w:t>chemical changes to marine waters</w:t>
            </w:r>
          </w:p>
          <w:p w14:paraId="13402722" w14:textId="77777777" w:rsidR="003D6E2C" w:rsidRDefault="00904E54" w:rsidP="00256C7A">
            <w:pPr>
              <w:pStyle w:val="ListParagraph"/>
              <w:ind w:left="342"/>
            </w:pPr>
            <w:r>
              <w:t>11.2 Sea level rise</w:t>
            </w:r>
          </w:p>
          <w:p w14:paraId="7DBFF7B4" w14:textId="40CDD21C" w:rsidR="00904E54" w:rsidRPr="00274DC0" w:rsidRDefault="00904E54" w:rsidP="00256C7A">
            <w:pPr>
              <w:pStyle w:val="ListParagraph"/>
              <w:ind w:left="342"/>
            </w:pPr>
            <w:r>
              <w:t>11.3 Shifts in temperature/precipitation patterns</w:t>
            </w:r>
          </w:p>
        </w:tc>
      </w:tr>
      <w:tr w:rsidR="00707B54" w:rsidRPr="00274DC0" w14:paraId="34CE98A1" w14:textId="77777777" w:rsidTr="00256C7A">
        <w:trPr>
          <w:cantSplit/>
        </w:trPr>
        <w:tc>
          <w:tcPr>
            <w:tcW w:w="4608" w:type="dxa"/>
          </w:tcPr>
          <w:p w14:paraId="1E753F55" w14:textId="023B22C7" w:rsidR="00707B54" w:rsidRPr="00707B54" w:rsidRDefault="00707B54" w:rsidP="00256C7A">
            <w:pPr>
              <w:spacing w:before="0"/>
              <w:rPr>
                <w:b/>
              </w:rPr>
            </w:pPr>
          </w:p>
        </w:tc>
        <w:tc>
          <w:tcPr>
            <w:tcW w:w="4968" w:type="dxa"/>
          </w:tcPr>
          <w:p w14:paraId="130B5528" w14:textId="77777777" w:rsidR="00707B54" w:rsidRPr="00707B54" w:rsidRDefault="00707B54" w:rsidP="00256C7A">
            <w:pPr>
              <w:rPr>
                <w:b/>
              </w:rPr>
            </w:pPr>
          </w:p>
        </w:tc>
      </w:tr>
    </w:tbl>
    <w:p w14:paraId="028458B4" w14:textId="31C7AEA8" w:rsidR="00256C7A" w:rsidRPr="00F85D4C" w:rsidRDefault="00256C7A" w:rsidP="00256C7A">
      <w:pPr>
        <w:rPr>
          <w:rFonts w:eastAsiaTheme="minorEastAsia" w:cstheme="minorBidi"/>
          <w:b/>
          <w:color w:val="auto"/>
          <w:sz w:val="20"/>
          <w:szCs w:val="20"/>
        </w:rPr>
      </w:pPr>
      <w:r w:rsidRPr="00F85D4C">
        <w:rPr>
          <w:rFonts w:eastAsiaTheme="minorEastAsia" w:cstheme="minorBidi"/>
          <w:b/>
          <w:color w:val="auto"/>
          <w:sz w:val="20"/>
          <w:szCs w:val="20"/>
        </w:rPr>
        <w:t xml:space="preserve">Table </w:t>
      </w:r>
      <w:r w:rsidR="00892D05">
        <w:rPr>
          <w:rFonts w:eastAsiaTheme="minorEastAsia" w:cstheme="minorBidi"/>
          <w:b/>
          <w:color w:val="auto"/>
          <w:sz w:val="20"/>
          <w:szCs w:val="20"/>
        </w:rPr>
        <w:t>6</w:t>
      </w:r>
      <w:r w:rsidRPr="00F85D4C">
        <w:rPr>
          <w:rFonts w:eastAsiaTheme="minorEastAsia" w:cstheme="minorBidi"/>
          <w:b/>
          <w:color w:val="auto"/>
          <w:sz w:val="20"/>
          <w:szCs w:val="20"/>
        </w:rPr>
        <w:t xml:space="preserve">. </w:t>
      </w:r>
      <w:r>
        <w:rPr>
          <w:rFonts w:eastAsiaTheme="minorEastAsia" w:cstheme="minorBidi"/>
          <w:b/>
          <w:color w:val="auto"/>
          <w:sz w:val="20"/>
          <w:szCs w:val="20"/>
        </w:rPr>
        <w:t>Pressure class categories (1 – 11) and their associated pressure classes, based on the 2013</w:t>
      </w:r>
      <w:r w:rsidRPr="00F85D4C">
        <w:rPr>
          <w:rFonts w:eastAsiaTheme="minorEastAsia" w:cstheme="minorBidi"/>
          <w:b/>
          <w:color w:val="auto"/>
          <w:sz w:val="20"/>
          <w:szCs w:val="20"/>
        </w:rPr>
        <w:t xml:space="preserve"> PSP 201</w:t>
      </w:r>
      <w:r>
        <w:rPr>
          <w:rFonts w:eastAsiaTheme="minorEastAsia" w:cstheme="minorBidi"/>
          <w:b/>
          <w:color w:val="auto"/>
          <w:sz w:val="20"/>
          <w:szCs w:val="20"/>
        </w:rPr>
        <w:t>3</w:t>
      </w:r>
      <w:r w:rsidRPr="00F85D4C">
        <w:rPr>
          <w:rFonts w:eastAsiaTheme="minorEastAsia" w:cstheme="minorBidi"/>
          <w:b/>
          <w:color w:val="auto"/>
          <w:sz w:val="20"/>
          <w:szCs w:val="20"/>
        </w:rPr>
        <w:t xml:space="preserve"> Pressure Taxonomy</w:t>
      </w:r>
      <w:r>
        <w:rPr>
          <w:rFonts w:eastAsiaTheme="minorEastAsia" w:cstheme="minorBidi"/>
          <w:b/>
          <w:color w:val="auto"/>
          <w:sz w:val="20"/>
          <w:szCs w:val="20"/>
        </w:rPr>
        <w:t xml:space="preserve"> (Stiles et al., 2013 draft), modified to include climate change pressures.</w:t>
      </w:r>
    </w:p>
    <w:p w14:paraId="7DE49CFC" w14:textId="00E566F6" w:rsidR="003D6E2C" w:rsidRPr="000E3F4B" w:rsidRDefault="003D6E2C" w:rsidP="003D6E2C">
      <w:pPr>
        <w:rPr>
          <w:rFonts w:eastAsiaTheme="minorEastAsia" w:cstheme="minorBidi"/>
          <w:color w:val="auto"/>
        </w:rPr>
      </w:pPr>
      <w:r w:rsidRPr="00F27233">
        <w:rPr>
          <w:rFonts w:eastAsiaTheme="minorEastAsia" w:cstheme="minorBidi"/>
          <w:color w:val="auto"/>
        </w:rPr>
        <w:t xml:space="preserve">Most of the </w:t>
      </w:r>
      <w:r w:rsidR="00256C7A">
        <w:rPr>
          <w:rFonts w:eastAsiaTheme="minorEastAsia" w:cstheme="minorBidi"/>
          <w:color w:val="auto"/>
        </w:rPr>
        <w:t>32</w:t>
      </w:r>
      <w:r>
        <w:rPr>
          <w:rFonts w:eastAsiaTheme="minorEastAsia" w:cstheme="minorBidi"/>
          <w:color w:val="auto"/>
        </w:rPr>
        <w:t xml:space="preserve"> </w:t>
      </w:r>
      <w:r w:rsidRPr="00F27233">
        <w:rPr>
          <w:rFonts w:eastAsiaTheme="minorEastAsia" w:cstheme="minorBidi"/>
          <w:color w:val="auto"/>
        </w:rPr>
        <w:t>pressure</w:t>
      </w:r>
      <w:r>
        <w:rPr>
          <w:rFonts w:eastAsiaTheme="minorEastAsia" w:cstheme="minorBidi"/>
          <w:color w:val="auto"/>
        </w:rPr>
        <w:t xml:space="preserve"> </w:t>
      </w:r>
      <w:r w:rsidR="00AF1018">
        <w:rPr>
          <w:rFonts w:eastAsiaTheme="minorEastAsia" w:cstheme="minorBidi"/>
          <w:color w:val="auto"/>
        </w:rPr>
        <w:t>sub-</w:t>
      </w:r>
      <w:r>
        <w:rPr>
          <w:rFonts w:eastAsiaTheme="minorEastAsia" w:cstheme="minorBidi"/>
          <w:color w:val="auto"/>
        </w:rPr>
        <w:t>classes</w:t>
      </w:r>
      <w:r w:rsidR="00AF1018">
        <w:rPr>
          <w:rFonts w:eastAsiaTheme="minorEastAsia" w:cstheme="minorBidi"/>
          <w:color w:val="auto"/>
        </w:rPr>
        <w:t xml:space="preserve"> (1.1 – 11.3)</w:t>
      </w:r>
      <w:r>
        <w:rPr>
          <w:rFonts w:eastAsiaTheme="minorEastAsia" w:cstheme="minorBidi"/>
          <w:color w:val="auto"/>
        </w:rPr>
        <w:t xml:space="preserve"> represent</w:t>
      </w:r>
      <w:r w:rsidRPr="00F27233">
        <w:rPr>
          <w:rFonts w:eastAsiaTheme="minorEastAsia" w:cstheme="minorBidi"/>
          <w:color w:val="auto"/>
        </w:rPr>
        <w:t xml:space="preserve"> sources of str</w:t>
      </w:r>
      <w:r>
        <w:rPr>
          <w:rFonts w:eastAsiaTheme="minorEastAsia" w:cstheme="minorBidi"/>
          <w:color w:val="auto"/>
        </w:rPr>
        <w:t>ess. In effect</w:t>
      </w:r>
      <w:r w:rsidRPr="00F27233">
        <w:rPr>
          <w:rFonts w:eastAsiaTheme="minorEastAsia" w:cstheme="minorBidi"/>
          <w:color w:val="auto"/>
        </w:rPr>
        <w:t>, the taxonomy represents a classification of sources</w:t>
      </w:r>
      <w:r>
        <w:rPr>
          <w:rFonts w:eastAsiaTheme="minorEastAsia" w:cstheme="minorBidi"/>
          <w:color w:val="auto"/>
        </w:rPr>
        <w:t xml:space="preserve">, with nested taxonomies of stressors and mechanisms of action used to further define a source’s specific pathways of effects on Puget Sound ecosystems. </w:t>
      </w:r>
      <w:r>
        <w:t>Sources of stress are not the most proximal actors on ecosystem components but rather act on the ecosystem via one or more stressors, or agents</w:t>
      </w:r>
      <w:r w:rsidR="00256C7A">
        <w:t xml:space="preserve"> of change</w:t>
      </w:r>
      <w:r>
        <w:t xml:space="preserve">. For example, the pressure </w:t>
      </w:r>
      <w:r w:rsidRPr="00E91AB0">
        <w:rPr>
          <w:i/>
        </w:rPr>
        <w:t>Residential &amp; Commercial Development</w:t>
      </w:r>
      <w:r>
        <w:t xml:space="preserve"> acts directly on ecosystem components via habitat conversion and pollution (air, noise, and light), as well as indirectly via increasing the need for other pressures, or sources of stress, including </w:t>
      </w:r>
      <w:r>
        <w:rPr>
          <w:i/>
        </w:rPr>
        <w:t>Transportation &amp; Service Corridors</w:t>
      </w:r>
      <w:r>
        <w:t xml:space="preserve"> and </w:t>
      </w:r>
      <w:r>
        <w:rPr>
          <w:i/>
        </w:rPr>
        <w:t>Runoff</w:t>
      </w:r>
      <w:r>
        <w:t xml:space="preserve"> </w:t>
      </w:r>
      <w:r>
        <w:rPr>
          <w:i/>
        </w:rPr>
        <w:t>from the Built Environment</w:t>
      </w:r>
      <w:r w:rsidR="00256C7A">
        <w:rPr>
          <w:i/>
        </w:rPr>
        <w:t xml:space="preserve"> </w:t>
      </w:r>
      <w:r w:rsidR="00256C7A">
        <w:t>(Stiles et al., 2013)</w:t>
      </w:r>
      <w:r>
        <w:rPr>
          <w:i/>
        </w:rPr>
        <w:t>.</w:t>
      </w:r>
    </w:p>
    <w:p w14:paraId="323355EC" w14:textId="70FD5EB9" w:rsidR="003D6E2C" w:rsidRPr="001E6229" w:rsidRDefault="00071956" w:rsidP="003D6E2C">
      <w:r>
        <w:t xml:space="preserve">Table </w:t>
      </w:r>
      <w:r w:rsidR="00892D05">
        <w:t>7</w:t>
      </w:r>
      <w:r>
        <w:t xml:space="preserve"> </w:t>
      </w:r>
      <w:r w:rsidR="003D6E2C">
        <w:t xml:space="preserve">presents a </w:t>
      </w:r>
      <w:r w:rsidR="00256C7A">
        <w:t>list</w:t>
      </w:r>
      <w:r w:rsidR="003D6E2C">
        <w:t xml:space="preserve"> of common stressors in Puget Sound</w:t>
      </w:r>
      <w:r w:rsidR="00256C7A">
        <w:t>, as presented in the Puget Sound pressures taxonomy</w:t>
      </w:r>
      <w:r w:rsidR="003D6E2C">
        <w:t xml:space="preserve">. See </w:t>
      </w:r>
      <w:r w:rsidR="00256C7A">
        <w:t>Stiles et al. (2013)</w:t>
      </w:r>
      <w:r w:rsidR="003D6E2C">
        <w:t xml:space="preserve"> for a complete list of stressors with definitions and additional information about their primary sources and common ecological effects, or stresses to ecosystem components.</w:t>
      </w:r>
    </w:p>
    <w:tbl>
      <w:tblPr>
        <w:tblStyle w:val="LightShading-Accent1"/>
        <w:tblW w:w="0" w:type="auto"/>
        <w:tblLook w:val="04A0" w:firstRow="1" w:lastRow="0" w:firstColumn="1" w:lastColumn="0" w:noHBand="0" w:noVBand="1"/>
      </w:tblPr>
      <w:tblGrid>
        <w:gridCol w:w="9576"/>
      </w:tblGrid>
      <w:tr w:rsidR="00071956" w:rsidRPr="00071956" w14:paraId="1560E742" w14:textId="77777777" w:rsidTr="00071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E85FDA8" w14:textId="6A11C3B7" w:rsidR="00071956" w:rsidRPr="00071956" w:rsidRDefault="00071956" w:rsidP="00892D05">
            <w:pPr>
              <w:pStyle w:val="ListParagraph"/>
              <w:keepNext/>
              <w:keepLines/>
              <w:widowControl/>
              <w:autoSpaceDE/>
              <w:autoSpaceDN/>
              <w:adjustRightInd/>
              <w:spacing w:before="0" w:after="0" w:line="240" w:lineRule="auto"/>
              <w:rPr>
                <w:color w:val="auto"/>
              </w:rPr>
            </w:pPr>
            <w:r>
              <w:rPr>
                <w:color w:val="auto"/>
              </w:rPr>
              <w:lastRenderedPageBreak/>
              <w:t xml:space="preserve">Table </w:t>
            </w:r>
            <w:r w:rsidR="00892D05">
              <w:rPr>
                <w:color w:val="auto"/>
              </w:rPr>
              <w:t>7</w:t>
            </w:r>
            <w:r>
              <w:rPr>
                <w:color w:val="auto"/>
              </w:rPr>
              <w:t>. List of stressors from Puget Sound pressures taxonomy (Stiles et al., 2013).</w:t>
            </w:r>
          </w:p>
        </w:tc>
      </w:tr>
      <w:tr w:rsidR="00071956" w:rsidRPr="00071956" w14:paraId="7C0C3ADB"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4D060C21"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proofErr w:type="spellStart"/>
            <w:r w:rsidRPr="00071956">
              <w:rPr>
                <w:color w:val="auto"/>
              </w:rPr>
              <w:t>Bycatch</w:t>
            </w:r>
            <w:proofErr w:type="spellEnd"/>
            <w:r w:rsidRPr="00071956">
              <w:rPr>
                <w:color w:val="auto"/>
              </w:rPr>
              <w:t xml:space="preserve"> (unintended harvest)</w:t>
            </w:r>
          </w:p>
        </w:tc>
      </w:tr>
      <w:tr w:rsidR="00071956" w:rsidRPr="00071956" w14:paraId="7B8832D7"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7C3AEC4D"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Derelict fishing gear and vessels</w:t>
            </w:r>
          </w:p>
        </w:tc>
      </w:tr>
      <w:tr w:rsidR="00071956" w:rsidRPr="00071956" w14:paraId="0942075D"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3135F76"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Disease introduction</w:t>
            </w:r>
          </w:p>
        </w:tc>
      </w:tr>
      <w:tr w:rsidR="00071956" w:rsidRPr="00071956" w14:paraId="266B6155"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452137ED"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Fish passage barriers</w:t>
            </w:r>
          </w:p>
        </w:tc>
      </w:tr>
      <w:tr w:rsidR="00071956" w:rsidRPr="00071956" w14:paraId="0AA4E512"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081B261"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Habitat conversion due to human land-use change</w:t>
            </w:r>
          </w:p>
        </w:tc>
      </w:tr>
      <w:tr w:rsidR="00071956" w:rsidRPr="00071956" w14:paraId="2B1EBF77"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72F48EFF"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Habitat degradation</w:t>
            </w:r>
          </w:p>
        </w:tc>
      </w:tr>
      <w:tr w:rsidR="00071956" w:rsidRPr="00071956" w14:paraId="118CD744"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55A40CD3"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Defoliation</w:t>
            </w:r>
          </w:p>
        </w:tc>
      </w:tr>
      <w:tr w:rsidR="00071956" w:rsidRPr="00071956" w14:paraId="0677B7C3"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632B12A9"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Habitat destruction due to altered hydrology </w:t>
            </w:r>
          </w:p>
        </w:tc>
      </w:tr>
      <w:tr w:rsidR="00071956" w:rsidRPr="00071956" w14:paraId="31CB9C38"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9D16990"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Harvest</w:t>
            </w:r>
          </w:p>
        </w:tc>
      </w:tr>
      <w:tr w:rsidR="00071956" w:rsidRPr="00071956" w14:paraId="66AFEE43"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6B34E130"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proofErr w:type="spellStart"/>
            <w:r w:rsidRPr="00071956">
              <w:rPr>
                <w:color w:val="auto"/>
              </w:rPr>
              <w:t>Hydromodification</w:t>
            </w:r>
            <w:proofErr w:type="spellEnd"/>
            <w:r w:rsidRPr="00071956">
              <w:rPr>
                <w:color w:val="auto"/>
              </w:rPr>
              <w:t xml:space="preserve"> -  altered volume and timing of runoff</w:t>
            </w:r>
          </w:p>
        </w:tc>
      </w:tr>
      <w:tr w:rsidR="00071956" w:rsidRPr="00071956" w14:paraId="7221EE2F"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6547BE7"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proofErr w:type="spellStart"/>
            <w:r w:rsidRPr="00071956">
              <w:rPr>
                <w:color w:val="auto"/>
              </w:rPr>
              <w:t>Hydromodification</w:t>
            </w:r>
            <w:proofErr w:type="spellEnd"/>
            <w:r w:rsidRPr="00071956">
              <w:rPr>
                <w:color w:val="auto"/>
              </w:rPr>
              <w:t xml:space="preserve"> -  ditching</w:t>
            </w:r>
          </w:p>
        </w:tc>
      </w:tr>
      <w:tr w:rsidR="00071956" w:rsidRPr="00071956" w14:paraId="2455E9D2"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1ABB73CB"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proofErr w:type="spellStart"/>
            <w:r w:rsidRPr="00071956">
              <w:rPr>
                <w:color w:val="auto"/>
              </w:rPr>
              <w:t>Hydromodification</w:t>
            </w:r>
            <w:proofErr w:type="spellEnd"/>
            <w:r w:rsidRPr="00071956">
              <w:rPr>
                <w:color w:val="auto"/>
              </w:rPr>
              <w:t xml:space="preserve"> -  flow regulation</w:t>
            </w:r>
          </w:p>
        </w:tc>
      </w:tr>
      <w:tr w:rsidR="00071956" w:rsidRPr="00071956" w14:paraId="56F93F61"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EF7E42D"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proofErr w:type="spellStart"/>
            <w:r w:rsidRPr="00071956">
              <w:rPr>
                <w:color w:val="auto"/>
              </w:rPr>
              <w:t>Hydromodification</w:t>
            </w:r>
            <w:proofErr w:type="spellEnd"/>
            <w:r w:rsidRPr="00071956">
              <w:rPr>
                <w:color w:val="auto"/>
              </w:rPr>
              <w:t xml:space="preserve"> -  structural barriers to water, sediment, debris flow</w:t>
            </w:r>
          </w:p>
        </w:tc>
      </w:tr>
      <w:tr w:rsidR="00071956" w:rsidRPr="00071956" w14:paraId="53DE93F2"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33014C73"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proofErr w:type="spellStart"/>
            <w:r w:rsidRPr="00071956">
              <w:rPr>
                <w:color w:val="auto"/>
              </w:rPr>
              <w:t>Hydromodification</w:t>
            </w:r>
            <w:proofErr w:type="spellEnd"/>
            <w:r w:rsidRPr="00071956">
              <w:rPr>
                <w:color w:val="auto"/>
              </w:rPr>
              <w:t xml:space="preserve"> -  water diversion</w:t>
            </w:r>
          </w:p>
        </w:tc>
      </w:tr>
      <w:tr w:rsidR="00071956" w:rsidRPr="00071956" w14:paraId="1EC5DB3A"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CDE7F49"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proofErr w:type="spellStart"/>
            <w:r w:rsidRPr="00071956">
              <w:rPr>
                <w:color w:val="auto"/>
              </w:rPr>
              <w:t>Hydromodification</w:t>
            </w:r>
            <w:proofErr w:type="spellEnd"/>
            <w:r w:rsidRPr="00071956">
              <w:rPr>
                <w:color w:val="auto"/>
              </w:rPr>
              <w:t xml:space="preserve"> -  water extraction</w:t>
            </w:r>
          </w:p>
        </w:tc>
      </w:tr>
      <w:tr w:rsidR="00071956" w:rsidRPr="00071956" w14:paraId="448CBC91"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27781364"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Increased competition - due to increased native species</w:t>
            </w:r>
          </w:p>
        </w:tc>
      </w:tr>
      <w:tr w:rsidR="00071956" w:rsidRPr="00071956" w14:paraId="17DF8383"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62AED53"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Increased competition - due to increased non-native species</w:t>
            </w:r>
          </w:p>
        </w:tc>
      </w:tr>
      <w:tr w:rsidR="00071956" w:rsidRPr="00071956" w14:paraId="453050DA"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74C503D1"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Increased predation - due to overwater structures and shading</w:t>
            </w:r>
          </w:p>
        </w:tc>
      </w:tr>
      <w:tr w:rsidR="00071956" w:rsidRPr="00071956" w14:paraId="69F85014"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699A92A2"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Increased predation - due to increased native or introduced species</w:t>
            </w:r>
          </w:p>
        </w:tc>
      </w:tr>
      <w:tr w:rsidR="00071956" w:rsidRPr="00071956" w14:paraId="0382264B"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7624F970"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Introduced genetic material</w:t>
            </w:r>
          </w:p>
        </w:tc>
      </w:tr>
      <w:tr w:rsidR="00071956" w:rsidRPr="00071956" w14:paraId="2F402D55"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303AE3D"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Overwater structures</w:t>
            </w:r>
          </w:p>
        </w:tc>
      </w:tr>
      <w:tr w:rsidR="00071956" w:rsidRPr="00071956" w14:paraId="4B26909B"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4C17E12E"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Pollution - air pollution</w:t>
            </w:r>
          </w:p>
        </w:tc>
      </w:tr>
      <w:tr w:rsidR="00071956" w:rsidRPr="00071956" w14:paraId="3ABFE2DC"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21865D8E"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Pollution - atmospheric deposition</w:t>
            </w:r>
          </w:p>
        </w:tc>
      </w:tr>
      <w:tr w:rsidR="00071956" w:rsidRPr="00071956" w14:paraId="2D214E80"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6E6ED654"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Pollution - pesticide application</w:t>
            </w:r>
          </w:p>
        </w:tc>
      </w:tr>
      <w:tr w:rsidR="00071956" w:rsidRPr="00071956" w14:paraId="6CFF946A"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1CD533F"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Pollution - munitions testing</w:t>
            </w:r>
          </w:p>
        </w:tc>
      </w:tr>
      <w:tr w:rsidR="00071956" w:rsidRPr="00071956" w14:paraId="6E7AAD5D"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23EDA25E"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Pollution - release of legacy toxics</w:t>
            </w:r>
          </w:p>
        </w:tc>
      </w:tr>
      <w:tr w:rsidR="00071956" w:rsidRPr="00071956" w14:paraId="530DEB49"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7359B1FB"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Pollution - toxics, nutrients, sediment, pathogens in water</w:t>
            </w:r>
          </w:p>
        </w:tc>
      </w:tr>
      <w:tr w:rsidR="00071956" w:rsidRPr="00071956" w14:paraId="4BF9822A"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58082829"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Pollution - underwater bombs &amp; testing</w:t>
            </w:r>
          </w:p>
        </w:tc>
      </w:tr>
      <w:tr w:rsidR="00071956" w:rsidRPr="00071956" w14:paraId="20B4E728"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3E0353DC"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Shoreline hardening</w:t>
            </w:r>
          </w:p>
        </w:tc>
      </w:tr>
      <w:tr w:rsidR="00071956" w:rsidRPr="00071956" w14:paraId="4D6DA0AC"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5714A0E7"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Soil compaction</w:t>
            </w:r>
          </w:p>
        </w:tc>
      </w:tr>
      <w:tr w:rsidR="00071956" w:rsidRPr="00071956" w14:paraId="5064272F"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01B9CFC3"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Species disturbance</w:t>
            </w:r>
          </w:p>
        </w:tc>
      </w:tr>
      <w:tr w:rsidR="00071956" w:rsidRPr="00071956" w14:paraId="0CE075FF" w14:textId="77777777" w:rsidTr="00071956">
        <w:tc>
          <w:tcPr>
            <w:cnfStyle w:val="001000000000" w:firstRow="0" w:lastRow="0" w:firstColumn="1" w:lastColumn="0" w:oddVBand="0" w:evenVBand="0" w:oddHBand="0" w:evenHBand="0" w:firstRowFirstColumn="0" w:firstRowLastColumn="0" w:lastRowFirstColumn="0" w:lastRowLastColumn="0"/>
            <w:tcW w:w="9576" w:type="dxa"/>
          </w:tcPr>
          <w:p w14:paraId="2D400A86"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rPr>
                <w:color w:val="auto"/>
              </w:rPr>
            </w:pPr>
            <w:r w:rsidRPr="00071956">
              <w:rPr>
                <w:color w:val="auto"/>
              </w:rPr>
              <w:t>Toxic spills</w:t>
            </w:r>
          </w:p>
        </w:tc>
      </w:tr>
      <w:tr w:rsidR="00071956" w:rsidRPr="00071956" w14:paraId="2BB4C902" w14:textId="77777777" w:rsidTr="00071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14:paraId="1A1B7DC6" w14:textId="77777777" w:rsidR="00071956" w:rsidRPr="00071956" w:rsidRDefault="00071956" w:rsidP="00071956">
            <w:pPr>
              <w:pStyle w:val="ListParagraph"/>
              <w:keepNext/>
              <w:keepLines/>
              <w:widowControl/>
              <w:numPr>
                <w:ilvl w:val="0"/>
                <w:numId w:val="5"/>
              </w:numPr>
              <w:autoSpaceDE/>
              <w:autoSpaceDN/>
              <w:adjustRightInd/>
              <w:spacing w:before="0" w:after="0" w:line="240" w:lineRule="auto"/>
            </w:pPr>
            <w:r w:rsidRPr="00071956">
              <w:rPr>
                <w:color w:val="auto"/>
              </w:rPr>
              <w:t>Toxics in environment</w:t>
            </w:r>
          </w:p>
        </w:tc>
      </w:tr>
    </w:tbl>
    <w:p w14:paraId="5CBA0BDF" w14:textId="77777777" w:rsidR="00071956" w:rsidRDefault="00071956" w:rsidP="00376462"/>
    <w:p w14:paraId="693A2688" w14:textId="72F6FCB4" w:rsidR="00376462" w:rsidRDefault="00376462" w:rsidP="00376462">
      <w:r>
        <w:t>Refinement to this list of stressors, including the addition of stressors associated with climate change, ocean acidification, and sea level rise, are an expected product of initial expert workshops associated with each of the three ecosystem domains.</w:t>
      </w:r>
      <w:r w:rsidR="00760182">
        <w:t xml:space="preserve">  At present, the list should be considered an evocative list to initiate discussions at these workshops.</w:t>
      </w:r>
      <w:r w:rsidR="00654496">
        <w:t xml:space="preserve">  It is expected that consultation with the Climate Impacts Group at the University of Washington would be a necessary step to expedite the formalization of the stressors associated with climate change.</w:t>
      </w:r>
    </w:p>
    <w:p w14:paraId="47DFFC30" w14:textId="77777777" w:rsidR="00CA7DD2" w:rsidRPr="009F11B4" w:rsidRDefault="00CA7DD2" w:rsidP="00CA7DD2">
      <w:pPr>
        <w:pStyle w:val="Heading3"/>
        <w:rPr>
          <w:shd w:val="clear" w:color="auto" w:fill="FFFFFF"/>
        </w:rPr>
      </w:pPr>
      <w:bookmarkStart w:id="19" w:name="_Toc256149271"/>
      <w:r w:rsidRPr="009F11B4">
        <w:rPr>
          <w:shd w:val="clear" w:color="auto" w:fill="FFFFFF"/>
        </w:rPr>
        <w:t xml:space="preserve">Synergistic effects of multiple </w:t>
      </w:r>
      <w:r>
        <w:rPr>
          <w:shd w:val="clear" w:color="auto" w:fill="FFFFFF"/>
        </w:rPr>
        <w:t>stressors</w:t>
      </w:r>
      <w:bookmarkEnd w:id="19"/>
    </w:p>
    <w:p w14:paraId="76DA88AA" w14:textId="77777777" w:rsidR="00CA7DD2" w:rsidRPr="009F11B4" w:rsidRDefault="00CA7DD2" w:rsidP="00CA7DD2">
      <w:pPr>
        <w:widowControl/>
        <w:autoSpaceDE/>
        <w:autoSpaceDN/>
        <w:adjustRightInd/>
        <w:spacing w:before="0" w:after="0"/>
        <w:rPr>
          <w:shd w:val="clear" w:color="auto" w:fill="FFFFFF"/>
        </w:rPr>
      </w:pPr>
      <w:r w:rsidRPr="009F11B4">
        <w:rPr>
          <w:shd w:val="clear" w:color="auto" w:fill="FFFFFF"/>
        </w:rPr>
        <w:t xml:space="preserve">We recognize that most places are threatened by multiple human activities and that often the effect of these threats is multiplicative rather than simply additive. </w:t>
      </w:r>
      <w:r>
        <w:rPr>
          <w:shd w:val="clear" w:color="auto" w:fill="FFFFFF"/>
        </w:rPr>
        <w:t xml:space="preserve">Assumptions about interactions between </w:t>
      </w:r>
      <w:r>
        <w:rPr>
          <w:shd w:val="clear" w:color="auto" w:fill="FFFFFF"/>
        </w:rPr>
        <w:lastRenderedPageBreak/>
        <w:t>stressors are especially important when mapping pressure intensities and potential impacts, which will be a follow-on activity to this pressures assessment</w:t>
      </w:r>
      <w:r w:rsidRPr="009F11B4">
        <w:rPr>
          <w:shd w:val="clear" w:color="auto" w:fill="FFFFFF"/>
        </w:rPr>
        <w:t xml:space="preserve">. </w:t>
      </w:r>
      <w:r>
        <w:rPr>
          <w:shd w:val="clear" w:color="auto" w:fill="FFFFFF"/>
        </w:rPr>
        <w:t>When assessing stressors in expert workshops</w:t>
      </w:r>
      <w:r w:rsidRPr="009F11B4">
        <w:rPr>
          <w:shd w:val="clear" w:color="auto" w:fill="FFFFFF"/>
        </w:rPr>
        <w:t xml:space="preserve">, </w:t>
      </w:r>
      <w:r>
        <w:rPr>
          <w:shd w:val="clear" w:color="auto" w:fill="FFFFFF"/>
        </w:rPr>
        <w:t xml:space="preserve">assumptions about </w:t>
      </w:r>
      <w:r w:rsidRPr="009F11B4">
        <w:rPr>
          <w:shd w:val="clear" w:color="auto" w:fill="FFFFFF"/>
        </w:rPr>
        <w:t xml:space="preserve">important interactions among </w:t>
      </w:r>
      <w:r>
        <w:rPr>
          <w:shd w:val="clear" w:color="auto" w:fill="FFFFFF"/>
        </w:rPr>
        <w:t xml:space="preserve">pressures should be documented, including expert judgment about whether particular pressures could be expected to act  </w:t>
      </w:r>
      <w:r w:rsidRPr="009F11B4">
        <w:rPr>
          <w:shd w:val="clear" w:color="auto" w:fill="FFFFFF"/>
        </w:rPr>
        <w:t xml:space="preserve">synergistically (i.e., additive </w:t>
      </w:r>
      <w:r>
        <w:rPr>
          <w:shd w:val="clear" w:color="auto" w:fill="FFFFFF"/>
        </w:rPr>
        <w:t>versus</w:t>
      </w:r>
      <w:r w:rsidRPr="009F11B4">
        <w:rPr>
          <w:shd w:val="clear" w:color="auto" w:fill="FFFFFF"/>
        </w:rPr>
        <w:t xml:space="preserve"> multiplicative).</w:t>
      </w:r>
    </w:p>
    <w:p w14:paraId="0CFE5826" w14:textId="5E78061B" w:rsidR="00E508E5" w:rsidRDefault="00E508E5" w:rsidP="00E508E5">
      <w:pPr>
        <w:pStyle w:val="Heading3"/>
      </w:pPr>
      <w:bookmarkStart w:id="20" w:name="_Toc256149272"/>
      <w:r>
        <w:t>Assessment scales</w:t>
      </w:r>
      <w:r w:rsidR="00622945">
        <w:t>, units of assessment</w:t>
      </w:r>
      <w:bookmarkEnd w:id="20"/>
    </w:p>
    <w:p w14:paraId="14CE567A" w14:textId="13824455" w:rsidR="003061F1" w:rsidRDefault="003061F1" w:rsidP="00F07E76">
      <w:r>
        <w:t xml:space="preserve">The concept of “assessment scales” is somewhat complicated by the fact that scale applies to several aspects of the analysis.  </w:t>
      </w:r>
      <w:r w:rsidR="0036578B">
        <w:t>In the intended context</w:t>
      </w:r>
      <w:r w:rsidR="0007288C">
        <w:t xml:space="preserve">, “assessment scale” refers to the scale at which an expert provides judgment regarding the vulnerability criteria associated with a stressor/endpoint pair.  </w:t>
      </w:r>
      <w:r w:rsidR="002B584F">
        <w:t>From this point of view, assessment scale could be thought of as a “unit of assessment”, since the database of intrinsic vulnerability scores (</w:t>
      </w:r>
      <w:proofErr w:type="spellStart"/>
      <w:r w:rsidR="002B584F">
        <w:t>μ</w:t>
      </w:r>
      <w:r w:rsidR="002B584F">
        <w:rPr>
          <w:vertAlign w:val="subscript"/>
        </w:rPr>
        <w:t>ijk</w:t>
      </w:r>
      <w:proofErr w:type="spellEnd"/>
      <w:r w:rsidR="002B584F">
        <w:t xml:space="preserve">) will be defined at those scales.  </w:t>
      </w:r>
      <w:r w:rsidR="00633D4D">
        <w:t>As discussed in the “</w:t>
      </w:r>
      <w:r w:rsidR="00633D4D" w:rsidRPr="00C1116D">
        <w:t>ecosystem vulnerability model</w:t>
      </w:r>
      <w:r w:rsidR="00633D4D">
        <w:t>” section, we emphasize that the scales of assessment are distinct from “scale of impact” vulnerability criterion.</w:t>
      </w:r>
    </w:p>
    <w:p w14:paraId="5BA2D88E" w14:textId="5A5D0708" w:rsidR="00F07E76" w:rsidRDefault="001C3A82" w:rsidP="00F07E76">
      <w:r>
        <w:t>The primary assessment scale</w:t>
      </w:r>
      <w:r w:rsidR="00113C9A">
        <w:t>s</w:t>
      </w:r>
      <w:r w:rsidR="00E710E5">
        <w:t>, the scales at which expert judgment regarding the vulnerability criteria associated with stressor/endpoint pairs, are considered separately for each of the three ecosystem domains</w:t>
      </w:r>
      <w:r w:rsidR="0036578B">
        <w:t xml:space="preserve"> </w:t>
      </w:r>
      <w:r w:rsidR="00FB3412">
        <w:t>(</w:t>
      </w:r>
      <w:r w:rsidR="0036578B">
        <w:t xml:space="preserve">Table </w:t>
      </w:r>
      <w:r w:rsidR="00892D05">
        <w:t>8</w:t>
      </w:r>
      <w:r w:rsidR="00FB3412">
        <w:t>)</w:t>
      </w:r>
      <w:r w:rsidR="0036578B">
        <w:t>.</w:t>
      </w:r>
      <w:r w:rsidR="00113C9A">
        <w:t xml:space="preserve"> </w:t>
      </w:r>
    </w:p>
    <w:p w14:paraId="5A605A0F" w14:textId="77777777" w:rsidR="00113C9A" w:rsidRDefault="00113C9A" w:rsidP="00F07E76"/>
    <w:p w14:paraId="3A98595B" w14:textId="5F0AAE84" w:rsidR="00E710E5" w:rsidRDefault="00E710E5" w:rsidP="00F07E76">
      <w:r>
        <w:t xml:space="preserve">Table </w:t>
      </w:r>
      <w:r w:rsidR="00892D05">
        <w:t>8</w:t>
      </w:r>
      <w:r>
        <w:t xml:space="preserve">. Assessment scales </w:t>
      </w:r>
      <w:r w:rsidR="00376DBA">
        <w:t xml:space="preserve">for elicitation of vulnerability criteria, </w:t>
      </w:r>
      <w:r>
        <w:t>by ecosystem domain</w:t>
      </w:r>
    </w:p>
    <w:tbl>
      <w:tblPr>
        <w:tblStyle w:val="LightShading-Accent1"/>
        <w:tblW w:w="0" w:type="auto"/>
        <w:tblLook w:val="04A0" w:firstRow="1" w:lastRow="0" w:firstColumn="1" w:lastColumn="0" w:noHBand="0" w:noVBand="1"/>
      </w:tblPr>
      <w:tblGrid>
        <w:gridCol w:w="4788"/>
        <w:gridCol w:w="4788"/>
      </w:tblGrid>
      <w:tr w:rsidR="00113C9A" w14:paraId="12BDBC5C" w14:textId="77777777" w:rsidTr="00E710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B07C282" w14:textId="4B3CF8C6" w:rsidR="00113C9A" w:rsidRPr="00E710E5" w:rsidRDefault="00113C9A" w:rsidP="00F07E76">
            <w:pPr>
              <w:rPr>
                <w:rStyle w:val="Emphasis"/>
                <w:sz w:val="24"/>
              </w:rPr>
            </w:pPr>
            <w:r w:rsidRPr="00E710E5">
              <w:rPr>
                <w:rStyle w:val="Emphasis"/>
                <w:sz w:val="24"/>
              </w:rPr>
              <w:t>Ecosystem domain</w:t>
            </w:r>
            <w:r w:rsidR="00D871D5" w:rsidRPr="00E710E5">
              <w:rPr>
                <w:rStyle w:val="Emphasis"/>
                <w:sz w:val="24"/>
              </w:rPr>
              <w:t xml:space="preserve"> of assessment endpoint</w:t>
            </w:r>
          </w:p>
        </w:tc>
        <w:tc>
          <w:tcPr>
            <w:tcW w:w="4788" w:type="dxa"/>
          </w:tcPr>
          <w:p w14:paraId="33BDC866" w14:textId="56A5EE91" w:rsidR="00113C9A" w:rsidRPr="00E710E5" w:rsidRDefault="00D871D5" w:rsidP="00F07E76">
            <w:pPr>
              <w:cnfStyle w:val="100000000000" w:firstRow="1" w:lastRow="0" w:firstColumn="0" w:lastColumn="0" w:oddVBand="0" w:evenVBand="0" w:oddHBand="0" w:evenHBand="0" w:firstRowFirstColumn="0" w:firstRowLastColumn="0" w:lastRowFirstColumn="0" w:lastRowLastColumn="0"/>
              <w:rPr>
                <w:rStyle w:val="Emphasis"/>
                <w:sz w:val="24"/>
              </w:rPr>
            </w:pPr>
            <w:r w:rsidRPr="00E710E5">
              <w:rPr>
                <w:rStyle w:val="Emphasis"/>
                <w:sz w:val="24"/>
              </w:rPr>
              <w:t>Assessment scale</w:t>
            </w:r>
            <w:r w:rsidR="00376DBA">
              <w:rPr>
                <w:rStyle w:val="Emphasis"/>
                <w:sz w:val="24"/>
              </w:rPr>
              <w:t xml:space="preserve"> for elicitation of vulnerability criteria</w:t>
            </w:r>
          </w:p>
        </w:tc>
      </w:tr>
      <w:tr w:rsidR="00113C9A" w14:paraId="714F52BC" w14:textId="77777777" w:rsidTr="00E71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13EFDDF5" w14:textId="67571FFA" w:rsidR="00113C9A" w:rsidRDefault="00D871D5" w:rsidP="00F07E76">
            <w:r>
              <w:t>Marine and nearshore</w:t>
            </w:r>
          </w:p>
        </w:tc>
        <w:tc>
          <w:tcPr>
            <w:tcW w:w="4788" w:type="dxa"/>
          </w:tcPr>
          <w:p w14:paraId="7422ACE2" w14:textId="724D01AA" w:rsidR="00113C9A" w:rsidRDefault="000E232F" w:rsidP="00F07E76">
            <w:pPr>
              <w:cnfStyle w:val="000000100000" w:firstRow="0" w:lastRow="0" w:firstColumn="0" w:lastColumn="0" w:oddVBand="0" w:evenVBand="0" w:oddHBand="1" w:evenHBand="0" w:firstRowFirstColumn="0" w:firstRowLastColumn="0" w:lastRowFirstColumn="0" w:lastRowLastColumn="0"/>
            </w:pPr>
            <w:r>
              <w:t>Basin/sub-basins as defined by the Puget Sound Nearshore Ecosystem Restoration project.</w:t>
            </w:r>
          </w:p>
        </w:tc>
      </w:tr>
      <w:tr w:rsidR="00113C9A" w14:paraId="54782A84" w14:textId="77777777" w:rsidTr="00E710E5">
        <w:tc>
          <w:tcPr>
            <w:cnfStyle w:val="001000000000" w:firstRow="0" w:lastRow="0" w:firstColumn="1" w:lastColumn="0" w:oddVBand="0" w:evenVBand="0" w:oddHBand="0" w:evenHBand="0" w:firstRowFirstColumn="0" w:firstRowLastColumn="0" w:lastRowFirstColumn="0" w:lastRowLastColumn="0"/>
            <w:tcW w:w="4788" w:type="dxa"/>
          </w:tcPr>
          <w:p w14:paraId="0B25E113" w14:textId="1472B155" w:rsidR="00113C9A" w:rsidRDefault="00D871D5" w:rsidP="00F07E76">
            <w:r>
              <w:t>Terrestrial</w:t>
            </w:r>
          </w:p>
        </w:tc>
        <w:tc>
          <w:tcPr>
            <w:tcW w:w="4788" w:type="dxa"/>
          </w:tcPr>
          <w:p w14:paraId="4738433C" w14:textId="78E1B500" w:rsidR="00113C9A" w:rsidRDefault="00D871D5" w:rsidP="00F07E76">
            <w:pPr>
              <w:cnfStyle w:val="000000000000" w:firstRow="0" w:lastRow="0" w:firstColumn="0" w:lastColumn="0" w:oddVBand="0" w:evenVBand="0" w:oddHBand="0" w:evenHBand="0" w:firstRowFirstColumn="0" w:firstRowLastColumn="0" w:lastRowFirstColumn="0" w:lastRowLastColumn="0"/>
            </w:pPr>
            <w:r w:rsidRPr="00113C9A">
              <w:t>Water Resource Inventory Areas (WRIAs)</w:t>
            </w:r>
            <w:r w:rsidR="00BA7FFA">
              <w:t>, grouped as determined to be appropriate</w:t>
            </w:r>
          </w:p>
        </w:tc>
      </w:tr>
      <w:tr w:rsidR="00113C9A" w14:paraId="3FE941A2" w14:textId="77777777" w:rsidTr="00E710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103DC00" w14:textId="0F09D8DB" w:rsidR="00113C9A" w:rsidRDefault="00D871D5" w:rsidP="00F07E76">
            <w:r>
              <w:t>Freshwater aquatic</w:t>
            </w:r>
          </w:p>
        </w:tc>
        <w:tc>
          <w:tcPr>
            <w:tcW w:w="4788" w:type="dxa"/>
          </w:tcPr>
          <w:p w14:paraId="2C1BC1DF" w14:textId="05E9B06C" w:rsidR="00113C9A" w:rsidRDefault="00D871D5" w:rsidP="00F07E76">
            <w:pPr>
              <w:cnfStyle w:val="000000100000" w:firstRow="0" w:lastRow="0" w:firstColumn="0" w:lastColumn="0" w:oddVBand="0" w:evenVBand="0" w:oddHBand="1" w:evenHBand="0" w:firstRowFirstColumn="0" w:firstRowLastColumn="0" w:lastRowFirstColumn="0" w:lastRowLastColumn="0"/>
            </w:pPr>
            <w:r w:rsidRPr="00113C9A">
              <w:t>Water Resource Inventory Areas (WRIAs)</w:t>
            </w:r>
            <w:r w:rsidR="00BA7FFA">
              <w:t>, grouped as determined to be appropriate</w:t>
            </w:r>
          </w:p>
        </w:tc>
      </w:tr>
    </w:tbl>
    <w:p w14:paraId="6C8D9A1A" w14:textId="77777777" w:rsidR="00113C9A" w:rsidRDefault="00113C9A" w:rsidP="00F07E76"/>
    <w:p w14:paraId="35799823" w14:textId="77777777" w:rsidR="003061F1" w:rsidRPr="00F07E76" w:rsidRDefault="003061F1" w:rsidP="00F07E76"/>
    <w:p w14:paraId="3358C496" w14:textId="39EFE30D" w:rsidR="00800ACC" w:rsidRDefault="00471E70" w:rsidP="00AF1018">
      <w:pPr>
        <w:pStyle w:val="Heading2"/>
        <w:keepNext/>
        <w:keepLines/>
      </w:pPr>
      <w:bookmarkStart w:id="21" w:name="_Toc256149273"/>
      <w:r>
        <w:lastRenderedPageBreak/>
        <w:t xml:space="preserve">4. </w:t>
      </w:r>
      <w:r w:rsidR="00E508E5">
        <w:t>Implementing the pressure</w:t>
      </w:r>
      <w:r w:rsidR="00394BA9">
        <w:t>s</w:t>
      </w:r>
      <w:r w:rsidR="00E508E5">
        <w:t xml:space="preserve"> assessment through workshops, surveys, and expert panels</w:t>
      </w:r>
      <w:bookmarkEnd w:id="21"/>
    </w:p>
    <w:p w14:paraId="2608A568" w14:textId="0BE87F4C" w:rsidR="003B5569" w:rsidRDefault="003B5569" w:rsidP="00AF1018">
      <w:pPr>
        <w:pStyle w:val="Heading3"/>
        <w:keepNext/>
        <w:keepLines/>
      </w:pPr>
      <w:bookmarkStart w:id="22" w:name="_Toc256149274"/>
      <w:r>
        <w:t>Use of expert elicitation in pressure</w:t>
      </w:r>
      <w:r w:rsidR="00394BA9">
        <w:t>s</w:t>
      </w:r>
      <w:r>
        <w:t xml:space="preserve"> assessment</w:t>
      </w:r>
      <w:bookmarkEnd w:id="22"/>
    </w:p>
    <w:p w14:paraId="010AB094" w14:textId="77777777" w:rsidR="00800ACC" w:rsidRDefault="00800ACC" w:rsidP="00AF1018">
      <w:pPr>
        <w:keepNext/>
        <w:keepLines/>
      </w:pPr>
      <w:r>
        <w:t>Eliciting expert scientific judgment provides a useful approach to making assessments about impacts in environmental risk assessment when reliable data and models are insufficient.  Challenges include defining expertise, selecting experts, validating the judgments of experts, and aggregating divergent views.</w:t>
      </w:r>
    </w:p>
    <w:p w14:paraId="1224C050" w14:textId="18D80528" w:rsidR="00800ACC" w:rsidRDefault="00800ACC" w:rsidP="00800ACC">
      <w:pPr>
        <w:pStyle w:val="Heading4"/>
      </w:pPr>
      <w:r>
        <w:t xml:space="preserve">Defining </w:t>
      </w:r>
      <w:r w:rsidR="00FD0308">
        <w:t>exp</w:t>
      </w:r>
      <w:r>
        <w:t>ertise</w:t>
      </w:r>
    </w:p>
    <w:p w14:paraId="26F2666D" w14:textId="3BC4552F" w:rsidR="00800ACC" w:rsidRDefault="00800ACC" w:rsidP="00800ACC">
      <w:r>
        <w:t>Substantive expertise means having training, experience, and problem-solving skills in the domain of interest.  Normative expertise is the ability to communicate what one knows, requiring knowledge of statistical principles, the language of a field, reliability in making judgments, etc.  Substantive expertise is necessary though not sufficient, as an expert who cannot make reliable, coherent, or understandable judgments may in effect be just as unqualified as the individual without substantive expertise.  In fact, most experts have a region of overconfidence unknown to them, a domain between the subset of facts they have learned and the subset that they think they know (</w:t>
      </w:r>
      <w:proofErr w:type="spellStart"/>
      <w:r>
        <w:t>Ayyub</w:t>
      </w:r>
      <w:proofErr w:type="spellEnd"/>
      <w:r w:rsidR="00C71E4F">
        <w:t>,</w:t>
      </w:r>
      <w:r>
        <w:t xml:space="preserve"> 2001).  This suggests that more diagnostic procedures should be applied even for experts to help ensure that judgments are as accurate and reliable as possible.  The often assumed dichotomy between the objective and accurate “truth” possessed by the expert and the oversimplified or inaccurate “opinion” possessed by the lay person is an oversimplification (Morgan and </w:t>
      </w:r>
      <w:proofErr w:type="spellStart"/>
      <w:r>
        <w:t>Henrion</w:t>
      </w:r>
      <w:proofErr w:type="spellEnd"/>
      <w:r w:rsidR="00C71E4F">
        <w:t xml:space="preserve">, 1990; </w:t>
      </w:r>
      <w:proofErr w:type="spellStart"/>
      <w:r>
        <w:t>Burgman</w:t>
      </w:r>
      <w:proofErr w:type="spellEnd"/>
      <w:r w:rsidR="00C71E4F">
        <w:t>,</w:t>
      </w:r>
      <w:r>
        <w:t xml:space="preserve"> 2005).  Below we discuss the importance of providing training and feedback to help experts make more unbiased judgments, as well as structured elicitation procedures by which opinions can be effectively discussed and/or challenged and revised as learning takes place.</w:t>
      </w:r>
    </w:p>
    <w:p w14:paraId="3C502CC4" w14:textId="729312BC" w:rsidR="00800ACC" w:rsidRDefault="00800ACC" w:rsidP="00800ACC">
      <w:pPr>
        <w:pStyle w:val="Heading4"/>
      </w:pPr>
      <w:r>
        <w:t xml:space="preserve">Selecting </w:t>
      </w:r>
      <w:r w:rsidR="00FD0308">
        <w:t>exp</w:t>
      </w:r>
      <w:r>
        <w:t>erts</w:t>
      </w:r>
    </w:p>
    <w:p w14:paraId="7AA9E046" w14:textId="620DE75F" w:rsidR="00015C6D" w:rsidRDefault="00800ACC" w:rsidP="00800ACC">
      <w:r>
        <w:t>A number of basic guidelines for selecting experts have been proposed.  First, the pool of experts should be stratified, meaning that there should be multiple experts representing a diversity of affiliations, types of expertise, technical perspectives, and knowledge sources (</w:t>
      </w:r>
      <w:proofErr w:type="spellStart"/>
      <w:r>
        <w:t>Burgman</w:t>
      </w:r>
      <w:proofErr w:type="spellEnd"/>
      <w:r w:rsidR="00C71E4F">
        <w:t>,</w:t>
      </w:r>
      <w:r>
        <w:t xml:space="preserve"> 2005).  Second, instead of </w:t>
      </w:r>
      <w:r w:rsidRPr="00800ACC">
        <w:rPr>
          <w:i/>
        </w:rPr>
        <w:t>a priori</w:t>
      </w:r>
      <w:r>
        <w:t>, sharp delineations of expertise—for example, members of professional societies are in, local residents and resource users are out—a process should be included whereby all knowledge claims can be examined critically (Gregory et al.</w:t>
      </w:r>
      <w:r w:rsidR="00C71E4F">
        <w:t>, 2006;</w:t>
      </w:r>
      <w:r>
        <w:t xml:space="preserve"> Failing et al.</w:t>
      </w:r>
      <w:r w:rsidR="00C71E4F">
        <w:t>,</w:t>
      </w:r>
      <w:r>
        <w:t xml:space="preserve"> 2007).  Third, experts selected should be widely recognized as experts in the subject matter—that is, as possessing substantive expertise.  Normative expertise is also desirable, but it is far less likely to be available.</w:t>
      </w:r>
    </w:p>
    <w:p w14:paraId="1C8D712E" w14:textId="247F07A5" w:rsidR="00800ACC" w:rsidRDefault="009D3023" w:rsidP="00800ACC">
      <w:pPr>
        <w:pStyle w:val="Heading4"/>
      </w:pPr>
      <w:r>
        <w:t>Expert judgment</w:t>
      </w:r>
    </w:p>
    <w:p w14:paraId="793BA9AE" w14:textId="70CE579E" w:rsidR="00800ACC" w:rsidRDefault="00800ACC" w:rsidP="00800ACC">
      <w:r>
        <w:t>The biases and limitations of expert judgment have been widely documented (</w:t>
      </w:r>
      <w:proofErr w:type="spellStart"/>
      <w:r>
        <w:t>Tversky</w:t>
      </w:r>
      <w:proofErr w:type="spellEnd"/>
      <w:r>
        <w:t xml:space="preserve"> and </w:t>
      </w:r>
      <w:proofErr w:type="spellStart"/>
      <w:r>
        <w:t>Kahneman</w:t>
      </w:r>
      <w:proofErr w:type="spellEnd"/>
      <w:r w:rsidR="00C71E4F">
        <w:t>, 1981;</w:t>
      </w:r>
      <w:r>
        <w:t xml:space="preserve"> </w:t>
      </w:r>
      <w:proofErr w:type="spellStart"/>
      <w:r>
        <w:t>Burgman</w:t>
      </w:r>
      <w:proofErr w:type="spellEnd"/>
      <w:r w:rsidR="00C71E4F">
        <w:t>,</w:t>
      </w:r>
      <w:r>
        <w:t xml:space="preserve"> 2005).  </w:t>
      </w:r>
      <w:r w:rsidR="009D3023">
        <w:t>However, a</w:t>
      </w:r>
      <w:r>
        <w:t xml:space="preserve"> number of approaches for improving expert judgment were reviewed by </w:t>
      </w:r>
      <w:proofErr w:type="spellStart"/>
      <w:r>
        <w:t>Burgman</w:t>
      </w:r>
      <w:proofErr w:type="spellEnd"/>
      <w:r>
        <w:t xml:space="preserve"> et al. (2011).</w:t>
      </w:r>
      <w:r w:rsidR="009D3023">
        <w:t xml:space="preserve">  In this framework, we distinguish between expert “judgments” and “opinions” in the following manner. Judgments reflect the knowledge and experiences of the expert applied to well-defined questions confined to a well-defined context within the appropriate domain of </w:t>
      </w:r>
      <w:r w:rsidR="009D3023">
        <w:lastRenderedPageBreak/>
        <w:t xml:space="preserve">expertise.  In contrast, while opinions reflect the knowledge and expertise of the expert, the questions and contexts are broader, more poorly defined, and may extend beyond the expert’s domain of expertise.  Our goal is decompose the pressures assessment problem into a framework that requires expert judgment and minimizing the need for expert opinion.  As a relevant example, the use of a vulnerability model to decompose vulnerability into specific criteria and confining expert input to judgments about these criteria supports this approach.  In contrast, simply asking experts to list the most severe pressures for a set of endpoints at a particular place poses the problem in a less well-defined context and increases the potential for biases to limit the quality of the resulting information.  For example, Halpern et al. (2007) observed significant deviations </w:t>
      </w:r>
      <w:r w:rsidR="0001042E">
        <w:t>between the</w:t>
      </w:r>
      <w:r w:rsidR="009D3023">
        <w:t xml:space="preserve"> </w:t>
      </w:r>
      <w:r w:rsidR="0001042E">
        <w:t>“largest pressures” determined using the VME approach and pressure rankings based on expert opinion.</w:t>
      </w:r>
    </w:p>
    <w:p w14:paraId="00E96C5B" w14:textId="6B3D2AAC" w:rsidR="00800ACC" w:rsidRDefault="00800ACC" w:rsidP="00800ACC">
      <w:pPr>
        <w:pStyle w:val="Heading4"/>
      </w:pPr>
      <w:r>
        <w:t xml:space="preserve">Analytical </w:t>
      </w:r>
      <w:r w:rsidR="00FD0308">
        <w:t>tests</w:t>
      </w:r>
    </w:p>
    <w:p w14:paraId="15EE8101" w14:textId="72179D55" w:rsidR="00800ACC" w:rsidRDefault="00800ACC" w:rsidP="00800ACC">
      <w:r>
        <w:t>Cooke (1991) pioneered the idea of using hypothetical and empirical data to measure objectively the knowledge of experts.  The approach involves asking experts for facts, a subset of which are known to the facilitator but not to the experts.  Answers to these questions provide information on the skill of the participants, including their reliability (the degree to which an expert’s assessment is repeatable and stable across cases).  Test results may be used to evaluate knowledge, weight opinions, or exclude some opinions altogether.  The prospect of doing this raises challenging questions such as the following:  Who sets and administers the tests?  How does one overcome the reluctance to participate of experts unused to being challenged?  Such hurdles have been overcome in applications in law, meteorology, and engineering (e.g., Cooke</w:t>
      </w:r>
      <w:r w:rsidR="00C71E4F">
        <w:t>, 1991;</w:t>
      </w:r>
      <w:r>
        <w:t xml:space="preserve"> Murphy</w:t>
      </w:r>
      <w:r w:rsidR="00C71E4F">
        <w:t>,</w:t>
      </w:r>
      <w:r>
        <w:t xml:space="preserve"> 1993).</w:t>
      </w:r>
    </w:p>
    <w:p w14:paraId="79D7C1B4" w14:textId="6684697A" w:rsidR="00800ACC" w:rsidRDefault="00800ACC" w:rsidP="00800ACC">
      <w:pPr>
        <w:pStyle w:val="Heading4"/>
      </w:pPr>
      <w:r>
        <w:t xml:space="preserve">Feedback </w:t>
      </w:r>
      <w:r w:rsidR="00FD0308">
        <w:t>and training</w:t>
      </w:r>
    </w:p>
    <w:p w14:paraId="652F0086" w14:textId="2A092E15" w:rsidR="00800ACC" w:rsidRDefault="00800ACC" w:rsidP="00800ACC">
      <w:r>
        <w:t>A compelling conclusion of many studies is that people who are asked to provide expert judgment of uncertain quantities must not only have substantive expertise, but must also be trained to provide unbiased</w:t>
      </w:r>
      <w:r w:rsidR="00C71E4F">
        <w:t xml:space="preserve"> estimates (e.g., Wright et al., </w:t>
      </w:r>
      <w:r>
        <w:t xml:space="preserve">2002).  If people have the opportunity to learn how to improve their </w:t>
      </w:r>
      <w:r w:rsidR="00D43011">
        <w:t>judgment procedure</w:t>
      </w:r>
      <w:r>
        <w:t>, their performance generally improves, albeit slowly (Cooke</w:t>
      </w:r>
      <w:r w:rsidR="00C71E4F">
        <w:t>, 1991;</w:t>
      </w:r>
      <w:r>
        <w:t xml:space="preserve"> Cooke and </w:t>
      </w:r>
      <w:proofErr w:type="spellStart"/>
      <w:r>
        <w:t>Goossens</w:t>
      </w:r>
      <w:proofErr w:type="spellEnd"/>
      <w:r w:rsidR="00C71E4F">
        <w:t>,</w:t>
      </w:r>
      <w:r>
        <w:t xml:space="preserve"> 2000).  For example, weather forecasters, due to the immediate feedback usually received, have been shown to improve expertise over time (Murphy and Winkler</w:t>
      </w:r>
      <w:r w:rsidR="00C71E4F">
        <w:t>,</w:t>
      </w:r>
      <w:r>
        <w:t xml:space="preserve"> 1977).  Morgan and </w:t>
      </w:r>
      <w:proofErr w:type="spellStart"/>
      <w:r>
        <w:t>Henrion</w:t>
      </w:r>
      <w:proofErr w:type="spellEnd"/>
      <w:r>
        <w:t xml:space="preserve"> (1990) state that overconfidence can be substantially reduced </w:t>
      </w:r>
      <w:r w:rsidR="00D43011">
        <w:t xml:space="preserve">simply </w:t>
      </w:r>
      <w:r>
        <w:t>by asking peop</w:t>
      </w:r>
      <w:r w:rsidR="00D43011">
        <w:t xml:space="preserve">le to consider reasons why their judgments </w:t>
      </w:r>
      <w:r>
        <w:t>may be wrong.  Typically, training would outline a field’s jargon and theoretical concepts, and use case studies, experiments, hypothetical scenarios, and simulations to illustrate processes relevant to the questions at hand.  Opportunity for learning and revision of judgments should be included in the elicitation process for the actual quantities in question (</w:t>
      </w:r>
      <w:proofErr w:type="spellStart"/>
      <w:r>
        <w:t>Burgman</w:t>
      </w:r>
      <w:proofErr w:type="spellEnd"/>
      <w:r w:rsidR="00C71E4F">
        <w:t>,</w:t>
      </w:r>
      <w:r>
        <w:t xml:space="preserve"> 2005).</w:t>
      </w:r>
    </w:p>
    <w:p w14:paraId="57340CF0" w14:textId="309B2000" w:rsidR="00800ACC" w:rsidRDefault="00800ACC" w:rsidP="00800ACC">
      <w:pPr>
        <w:pStyle w:val="Heading4"/>
      </w:pPr>
      <w:r>
        <w:t xml:space="preserve">Structured </w:t>
      </w:r>
      <w:r w:rsidR="00FD0308">
        <w:t>procedures</w:t>
      </w:r>
    </w:p>
    <w:p w14:paraId="02E1417C" w14:textId="43F9FAB4" w:rsidR="00800ACC" w:rsidRDefault="00800ACC" w:rsidP="00800ACC">
      <w:r>
        <w:t>Structured elicitation procedures are explicit methods that anticipate and mitigate some of the most important and pervasive psychological and motivational biases that hinder expert judgment (</w:t>
      </w:r>
      <w:proofErr w:type="spellStart"/>
      <w:r>
        <w:t>Burgman</w:t>
      </w:r>
      <w:proofErr w:type="spellEnd"/>
      <w:r w:rsidR="00C71E4F">
        <w:t>,</w:t>
      </w:r>
      <w:r>
        <w:t xml:space="preserve"> et al. 2011).  One of the earliest of these processes was the Delphi technique, which brings together multiple experts with the goal of consensus in mind (Cooke</w:t>
      </w:r>
      <w:r w:rsidR="00C71E4F">
        <w:t>, 1991;</w:t>
      </w:r>
      <w:r>
        <w:t xml:space="preserve"> </w:t>
      </w:r>
      <w:proofErr w:type="spellStart"/>
      <w:r>
        <w:t>Ayyub</w:t>
      </w:r>
      <w:proofErr w:type="spellEnd"/>
      <w:r w:rsidR="00C71E4F">
        <w:t>,</w:t>
      </w:r>
      <w:r>
        <w:t xml:space="preserve"> 2001).  This method has been </w:t>
      </w:r>
      <w:r>
        <w:lastRenderedPageBreak/>
        <w:t xml:space="preserve">criticized for limiting interactions between experts, dealing inadequately with uncertainty, and discouraging dissent, among other criticisms.  While consistency of opinions may reflect reliability, alternatively, differences may reflect valid, honest differences of opinion.  Therefore the goal should be understanding and accurately characterizing uncertainty, including the key disagreements among the experts that remain once ambiguity and </w:t>
      </w:r>
      <w:proofErr w:type="spellStart"/>
      <w:r>
        <w:t>underspecificity</w:t>
      </w:r>
      <w:proofErr w:type="spellEnd"/>
      <w:r>
        <w:t xml:space="preserve"> have been addressed.  Some of the early criticisms have been addressed by changes in the </w:t>
      </w:r>
      <w:r w:rsidR="00CF60D1">
        <w:t xml:space="preserve">Delphi </w:t>
      </w:r>
      <w:r>
        <w:t>protocol aimed at having participants leave with a common perception of risks and uncertainties (</w:t>
      </w:r>
      <w:proofErr w:type="spellStart"/>
      <w:r>
        <w:t>Vose</w:t>
      </w:r>
      <w:proofErr w:type="spellEnd"/>
      <w:r w:rsidR="00C71E4F">
        <w:t>,</w:t>
      </w:r>
      <w:r>
        <w:t xml:space="preserve"> 1996).  In its updated version, the procedure circumvents or ameliorates many problems associated with dominance, availability bias, overconfidence, and related effects (</w:t>
      </w:r>
      <w:proofErr w:type="spellStart"/>
      <w:r>
        <w:t>Burgman</w:t>
      </w:r>
      <w:proofErr w:type="spellEnd"/>
      <w:r>
        <w:t xml:space="preserve"> et al.</w:t>
      </w:r>
      <w:r w:rsidR="00C71E4F">
        <w:t>,</w:t>
      </w:r>
      <w:r>
        <w:t xml:space="preserve"> 2011).  </w:t>
      </w:r>
    </w:p>
    <w:p w14:paraId="0F5CBBAA" w14:textId="57237E2C" w:rsidR="00CF5DD1" w:rsidRPr="00F16906" w:rsidRDefault="00800ACC" w:rsidP="00015C6D">
      <w:r>
        <w:t>Structured elicitation processes such as the improved Delphi technique should also provide a context in which experts can be questioned critically by analysts, other experts, stakeholders, and others.  Participants should have an opportunity to hear and weigh the opinions of others, integrate new information, improve understanding of the question, and evaluate the context and motivations of other participants, before arriving at their final judgment (</w:t>
      </w:r>
      <w:proofErr w:type="spellStart"/>
      <w:r>
        <w:t>Burgman</w:t>
      </w:r>
      <w:proofErr w:type="spellEnd"/>
      <w:r>
        <w:t xml:space="preserve"> et al.</w:t>
      </w:r>
      <w:r w:rsidR="00C71E4F">
        <w:t>,</w:t>
      </w:r>
      <w:r>
        <w:t xml:space="preserve"> 2011).  In this way they provide an environment of vigorous peer review and debate regarding the strengths and weaknesses of competing judgments, both about parameters and the conceptual models that underlie them (</w:t>
      </w:r>
      <w:proofErr w:type="spellStart"/>
      <w:r>
        <w:t>Funtowicz</w:t>
      </w:r>
      <w:proofErr w:type="spellEnd"/>
      <w:r>
        <w:t xml:space="preserve"> and </w:t>
      </w:r>
      <w:proofErr w:type="spellStart"/>
      <w:r>
        <w:t>Ravetz</w:t>
      </w:r>
      <w:proofErr w:type="spellEnd"/>
      <w:r w:rsidR="00C71E4F">
        <w:t>,</w:t>
      </w:r>
      <w:r>
        <w:t xml:space="preserve"> 1997).</w:t>
      </w:r>
    </w:p>
    <w:p w14:paraId="58EBB9A4" w14:textId="77777777" w:rsidR="00800ACC" w:rsidRDefault="00800ACC" w:rsidP="00015C6D">
      <w:pPr>
        <w:pStyle w:val="Heading3"/>
      </w:pPr>
      <w:bookmarkStart w:id="23" w:name="_Toc256149275"/>
      <w:r>
        <w:t>Purposes and types of expert panels used in the assessment</w:t>
      </w:r>
      <w:bookmarkEnd w:id="23"/>
    </w:p>
    <w:p w14:paraId="2FFEECD5" w14:textId="77777777" w:rsidR="00751390" w:rsidRDefault="00751390" w:rsidP="00015C6D">
      <w:r>
        <w:t xml:space="preserve">The assessment approach distinguishes between two types of workshop: 1) model refinement workshops and 2) model elicitation workshops.  Each type of workshop would be required for the three ecosystem domains, each involving teams chosen by expertise and experience.  For a given ecosystem domain, the </w:t>
      </w:r>
      <w:r w:rsidRPr="007206E9">
        <w:rPr>
          <w:rStyle w:val="Emphasis"/>
        </w:rPr>
        <w:t>model refinement workshops</w:t>
      </w:r>
      <w:r>
        <w:t xml:space="preserve"> would involve an expert group reviewing and potential refining the proposed vulnerability model criteria definitions, the choice of assessment stressors and endpoints, the choice of spatial scales for assessment, and assumptions about the context underlying the stressor/endpoint pairs.  For a given ecosystem domain, the </w:t>
      </w:r>
      <w:r w:rsidRPr="007206E9">
        <w:rPr>
          <w:rStyle w:val="Emphasis"/>
        </w:rPr>
        <w:t>model elicitation workshops</w:t>
      </w:r>
      <w:r>
        <w:t xml:space="preserve"> would involve expert groups </w:t>
      </w:r>
      <w:r w:rsidRPr="00E53A42">
        <w:t>providing their inputs to the vulnerability model for specific pressure/endpoint pairs, including a facilitated assessment of their uncertainty on those inputs.</w:t>
      </w:r>
      <w:r>
        <w:t xml:space="preserve">  Individual assessments would be shared between the experts during workshops with an opportunity for the experts to discuss and modify their answers.  We suggest the </w:t>
      </w:r>
      <w:r w:rsidRPr="00E53A42">
        <w:t xml:space="preserve">use of information technology </w:t>
      </w:r>
      <w:r>
        <w:t xml:space="preserve">that would </w:t>
      </w:r>
      <w:r w:rsidRPr="00E53A42">
        <w:t>allow individual participants to input their answers online during the workshop with a group facilitator synthesizing and displaying the group results as part of a Delphi process</w:t>
      </w:r>
      <w:r>
        <w:t>.</w:t>
      </w:r>
      <w:r w:rsidRPr="00E53A42">
        <w:t xml:space="preserve">  Individual experts would be expected to respond only to stressor/endpoint pairs for which they have sufficient expertise and experience.  For this reason, when choosing experts, confirming that all stressor/endpoint pairs are covered would be essential.  The use of survey documentation and online tools could be used to facilitate assessments and increase participation of a broader audience of experts, but the use of workshops to drive and manage the assessment process is essential.</w:t>
      </w:r>
    </w:p>
    <w:p w14:paraId="61D0650B" w14:textId="0E1BF4A1" w:rsidR="00751390" w:rsidRDefault="00751390" w:rsidP="00015C6D">
      <w:r>
        <w:t>We recommend that the work</w:t>
      </w:r>
      <w:r w:rsidRPr="00263821">
        <w:t>shops be organized, facilitated, and supported by substantial contract support</w:t>
      </w:r>
      <w:r>
        <w:t xml:space="preserve"> because the success of this pressures assessment relies heavily on 1) the proper choice of experts, 2) the efficient and appropriate execution of these workshops, and 3) the use of information technology to support information transfer between e</w:t>
      </w:r>
      <w:r w:rsidR="0096551E">
        <w:t xml:space="preserve">xperts and meeting facilitators. </w:t>
      </w:r>
      <w:r>
        <w:t xml:space="preserve"> While individual </w:t>
      </w:r>
      <w:r>
        <w:lastRenderedPageBreak/>
        <w:t xml:space="preserve">scientists, including members of the PSP Science Panel, are expected to contribute throughout the process of the pressures assessment, the substantial time commitments for overseeing the workshop process goes beyond what could be expected of volunteers or PSP staff. </w:t>
      </w:r>
    </w:p>
    <w:p w14:paraId="6A273F84" w14:textId="0943DA9E" w:rsidR="00800ACC" w:rsidRDefault="00E53A42" w:rsidP="00800ACC">
      <w:pPr>
        <w:pStyle w:val="Heading4"/>
      </w:pPr>
      <w:r>
        <w:t xml:space="preserve">Suggested </w:t>
      </w:r>
      <w:r w:rsidR="00D436F8">
        <w:t>ecosystem domain core teams</w:t>
      </w:r>
    </w:p>
    <w:p w14:paraId="7EBCA90E" w14:textId="77777777" w:rsidR="00800ACC" w:rsidRDefault="00800ACC" w:rsidP="00800ACC">
      <w:pPr>
        <w:pStyle w:val="ListParagraph"/>
        <w:numPr>
          <w:ilvl w:val="0"/>
          <w:numId w:val="8"/>
        </w:numPr>
      </w:pPr>
      <w:r>
        <w:t xml:space="preserve">Marine and Nearshore ecosystems: a sub-group of the PSNERP Nearshore Science Team (NST), augmented by others nominated by the former chair of the NST, the PSP Science Panel, and the chair of the Puget Sound Ecosystem Monitoring Program (PSEMP).  </w:t>
      </w:r>
    </w:p>
    <w:p w14:paraId="26AE72D3" w14:textId="77777777" w:rsidR="00800ACC" w:rsidRDefault="00800ACC" w:rsidP="00800ACC">
      <w:pPr>
        <w:pStyle w:val="ListParagraph"/>
        <w:numPr>
          <w:ilvl w:val="0"/>
          <w:numId w:val="8"/>
        </w:numPr>
      </w:pPr>
      <w:r>
        <w:t>Freshwater aquatic ecosystems: panelists to be nominated by the PSP Science Panel and the chair of PSEMP.</w:t>
      </w:r>
    </w:p>
    <w:p w14:paraId="0D77E258" w14:textId="77777777" w:rsidR="00800ACC" w:rsidRPr="007A5B7A" w:rsidRDefault="00800ACC" w:rsidP="00800ACC">
      <w:pPr>
        <w:pStyle w:val="ListParagraph"/>
        <w:numPr>
          <w:ilvl w:val="0"/>
          <w:numId w:val="8"/>
        </w:numPr>
      </w:pPr>
      <w:r>
        <w:t>Terrestrial ecosystems: panelists to be nominated by the PSP Science Panel and the chair of PSEMP.</w:t>
      </w:r>
    </w:p>
    <w:p w14:paraId="4B330DB4" w14:textId="19A19EAD" w:rsidR="00800ACC" w:rsidRDefault="00E53A42" w:rsidP="00800ACC">
      <w:pPr>
        <w:pStyle w:val="Heading4"/>
      </w:pPr>
      <w:r>
        <w:t xml:space="preserve">Suggested </w:t>
      </w:r>
      <w:r w:rsidR="00D436F8">
        <w:t>model refinement expert teams</w:t>
      </w:r>
    </w:p>
    <w:p w14:paraId="00A19407" w14:textId="77777777" w:rsidR="00800ACC" w:rsidRPr="000375BA" w:rsidRDefault="00800ACC" w:rsidP="00800ACC">
      <w:r>
        <w:t>For each ecosystem domain, the members would consist of the domain core team, augmented by others nominated by the standing team members.</w:t>
      </w:r>
    </w:p>
    <w:p w14:paraId="51B877A8" w14:textId="46B7324B" w:rsidR="00800ACC" w:rsidRPr="006201C0" w:rsidRDefault="00D436F8" w:rsidP="00800ACC">
      <w:pPr>
        <w:pStyle w:val="Heading4"/>
      </w:pPr>
      <w:r>
        <w:t>Suggested m</w:t>
      </w:r>
      <w:r w:rsidR="00800ACC">
        <w:t xml:space="preserve">odel </w:t>
      </w:r>
      <w:r>
        <w:t>elicitation expert teams</w:t>
      </w:r>
    </w:p>
    <w:p w14:paraId="2CD33AD4" w14:textId="0E9309EC" w:rsidR="00800ACC" w:rsidRDefault="00800ACC" w:rsidP="00800ACC">
      <w:pPr>
        <w:rPr>
          <w:rFonts w:eastAsiaTheme="majorEastAsia"/>
        </w:rPr>
      </w:pPr>
      <w:r>
        <w:rPr>
          <w:rFonts w:eastAsiaTheme="majorEastAsia"/>
        </w:rPr>
        <w:t>Experts for model elicitation workshops would be nominated through the core team of experts for each ecosystem doma</w:t>
      </w:r>
      <w:r w:rsidR="001B197D">
        <w:rPr>
          <w:rFonts w:eastAsiaTheme="majorEastAsia"/>
        </w:rPr>
        <w:t>in.</w:t>
      </w:r>
    </w:p>
    <w:p w14:paraId="6C6724BF" w14:textId="77777777" w:rsidR="00CF60D1" w:rsidRDefault="00CF60D1" w:rsidP="00CF60D1">
      <w:pPr>
        <w:pStyle w:val="Heading4"/>
      </w:pPr>
      <w:r>
        <w:t>Implementation</w:t>
      </w:r>
    </w:p>
    <w:p w14:paraId="4BF9A341" w14:textId="77777777" w:rsidR="00CF60D1" w:rsidRDefault="00CF60D1" w:rsidP="00CF60D1">
      <w:pPr>
        <w:ind w:firstLine="360"/>
      </w:pPr>
      <w:r>
        <w:t>We outline some issues to consider for each of the two phases of workshops, model refinement and model elicitation, based on lessons learned from previous elicitation exercises conducted in the Puget Sound.  The comments below should be incorporated into the specific procedures developed for conducting the pressure assessment.</w:t>
      </w:r>
    </w:p>
    <w:p w14:paraId="42F8D5CC" w14:textId="77777777" w:rsidR="00CF60D1" w:rsidRDefault="00CF60D1" w:rsidP="00CF60D1">
      <w:pPr>
        <w:ind w:firstLine="360"/>
      </w:pPr>
      <w:r>
        <w:t>We envision that the model refinement and elicitation workshops will be group workshops, but that it will be important to conduct individual interviews between the workshops in order to (1) provide training and feedback to each expert to bring them up to a reasonable level of performance; and (2) obtain initial judgments on the parameter values for the models.</w:t>
      </w:r>
    </w:p>
    <w:p w14:paraId="5F2EBD23" w14:textId="77777777" w:rsidR="00CF60D1" w:rsidRDefault="00CF60D1" w:rsidP="00CF60D1">
      <w:pPr>
        <w:pStyle w:val="Heading4"/>
      </w:pPr>
      <w:r>
        <w:t>Model Refinement Workshops</w:t>
      </w:r>
    </w:p>
    <w:p w14:paraId="1F1AD33D" w14:textId="77777777" w:rsidR="00CF60D1" w:rsidRDefault="00CF60D1" w:rsidP="00CF60D1">
      <w:pPr>
        <w:ind w:firstLine="360"/>
      </w:pPr>
      <w:r w:rsidRPr="00CF60D1">
        <w:rPr>
          <w:rStyle w:val="Heading4Char"/>
        </w:rPr>
        <w:t>Issue 1.</w:t>
      </w:r>
      <w:r>
        <w:t xml:space="preserve">  Assuming that a suitable diversity and multiplicity of experts has been identified, perhaps the most important issue is the development of case studies, scenarios, and examples – perhaps a single example per elicitation (e.g., mechanism of interaction between stressor and ecosystem component) upon which all participants can focus—of processes that the vulnerability model is intended to represent.   Part of this should be a discussion of what the different possible forms of the vulnerability model and parameter values could be, including what uncertainty could look like (and could arise from) in both model structure and parameter values.  Emphasis at this stage should be on obtaining the totality of evidence and understanding about the processes under consideration, rather than arriving at a single agreed-upon model and/or parameter values.   This sort of thinking, e.g., scenarios that might </w:t>
      </w:r>
      <w:r>
        <w:lastRenderedPageBreak/>
        <w:t>lead to unlikely outcomes, is often valuable for reducing overconfidence in making judgments about model structure and parameter values.  Because the sorts of judgments required by the model will be different than usually made in typical professional activities, how this translation is to be made between professional knowledge and model requirements will also be an important topic to be discussed.  A comprehensive report of these results will be produced as a reference for the upcoming elicitations.</w:t>
      </w:r>
    </w:p>
    <w:p w14:paraId="632697BC" w14:textId="77777777" w:rsidR="00CF60D1" w:rsidRDefault="00CF60D1" w:rsidP="00CF60D1">
      <w:pPr>
        <w:ind w:firstLine="360"/>
      </w:pPr>
      <w:r w:rsidRPr="00CF60D1">
        <w:rPr>
          <w:rStyle w:val="Heading4Char"/>
        </w:rPr>
        <w:t>Issue 2.</w:t>
      </w:r>
      <w:r>
        <w:t xml:space="preserve"> Another important issue to be addressed at this stage is how to achieve a suitable balance between considering a sufficient number of stressor-endpoint combinations to be comprehensive and considering a small enough number so that there will be sufficient time to conduct a high quality elicitation process.  </w:t>
      </w:r>
    </w:p>
    <w:p w14:paraId="5A97F990" w14:textId="77777777" w:rsidR="00CF60D1" w:rsidRDefault="00CF60D1" w:rsidP="00CF60D1">
      <w:pPr>
        <w:pStyle w:val="Heading4"/>
      </w:pPr>
      <w:r>
        <w:t>Model Elicitation Workshops</w:t>
      </w:r>
    </w:p>
    <w:p w14:paraId="134DE33B" w14:textId="77777777" w:rsidR="00CF60D1" w:rsidRDefault="00CF60D1" w:rsidP="00CF60D1">
      <w:pPr>
        <w:ind w:firstLine="360"/>
      </w:pPr>
      <w:r w:rsidRPr="00CF60D1">
        <w:rPr>
          <w:rStyle w:val="Heading4Char"/>
        </w:rPr>
        <w:t xml:space="preserve">Issue 3. </w:t>
      </w:r>
      <w:r>
        <w:t xml:space="preserve"> Prior to the group workshop session, individual training in the type of uncertain judgment required is critical in order that experts unfamiliar with translating their knowledge into quantitative probabilistic estimates can gain familiarity and experience with doing so.  This should be done using examples including ones like the ones for which the actual judgments will be required.  This is especially critical since these judgments will be different from the judgments many of the experts make in their usual professional capacity.  An important challenge will be designing and developing suitable feedback to the experts during training so that they can improve their ability to make the required judgments based on their performance.  Here is where experts can also be familiarized with some of the biases to which they may be prone and helped to overcome them.  Here is also where the uncertain quantities can initially be elicited from the experts.</w:t>
      </w:r>
    </w:p>
    <w:p w14:paraId="2E1300B6" w14:textId="77777777" w:rsidR="00CF60D1" w:rsidRDefault="00CF60D1" w:rsidP="00CF60D1">
      <w:pPr>
        <w:ind w:firstLine="360"/>
      </w:pPr>
      <w:r w:rsidRPr="00CF60D1">
        <w:rPr>
          <w:rStyle w:val="Heading4Char"/>
        </w:rPr>
        <w:t>Issue 4.</w:t>
      </w:r>
      <w:r>
        <w:t xml:space="preserve">  For the group workshops following the individual sessions, the key is creating an environment where there can be vigorous debate, discussion, and learning/revision of the initial judgments provided by the experts.  It should be possible for the rationale for particular values of the elicited quantities to be presented, understood, and defended.  It is expected that these interactions can and will also help guard against some of the biases to which elicitations are often prone.  One question is whether these workshops will include multiple experts who have provided judgments on different, non-overlapping stressor-endpoint combinations, all invited to comment on results; or whether these will be smaller workshops of just the (two or three?) experts providing judgments on a particular stressor-endpoint combination (at a particular scale).</w:t>
      </w:r>
    </w:p>
    <w:p w14:paraId="2A0F1B63" w14:textId="77777777" w:rsidR="00CF60D1" w:rsidRDefault="00CF60D1" w:rsidP="00CF60D1">
      <w:pPr>
        <w:ind w:firstLine="360"/>
      </w:pPr>
      <w:r w:rsidRPr="00CF60D1">
        <w:rPr>
          <w:rStyle w:val="Heading4Char"/>
        </w:rPr>
        <w:t xml:space="preserve">Issue 5.  </w:t>
      </w:r>
      <w:r>
        <w:t>Major reasons for disagreement between experts about model structure and parameter values (e.g., differences between mechanisms and/or scenarios that lead to such differences) should surface as a result of the discussions in model refinement workshops and these differences must be dealt with in order to arrive at final aggregate parameter estimates.  The intensity of the potential differences between experts’ understanding of the relevant processes will vary across different stressor-endpoint combinations and different scales, and should influence our approach to aggregation.  More fundamental differences should potentially be preserved in some fashion.  However, an important philosophy of our approach will be to attempt to establish a comprehensive body of evidence and understanding that can support an expression of model structure and (uncertain) parameter values to which all the relevant experts can give assent.</w:t>
      </w:r>
    </w:p>
    <w:p w14:paraId="7FF9285C" w14:textId="5ABC9E38" w:rsidR="008C3619" w:rsidRPr="008C3619" w:rsidRDefault="00435AC7" w:rsidP="008650B3">
      <w:pPr>
        <w:pStyle w:val="Heading1"/>
      </w:pPr>
      <w:bookmarkStart w:id="24" w:name="_Toc256149276"/>
      <w:r>
        <w:lastRenderedPageBreak/>
        <w:t>References</w:t>
      </w:r>
      <w:bookmarkEnd w:id="24"/>
    </w:p>
    <w:p w14:paraId="3090DE98" w14:textId="7E329592" w:rsidR="00CF15AC" w:rsidRDefault="00387134" w:rsidP="004B27AD">
      <w:pPr>
        <w:pStyle w:val="Reference0"/>
      </w:pPr>
      <w:r w:rsidRPr="00387134">
        <w:t>Action Agenda</w:t>
      </w:r>
      <w:r w:rsidR="00CF15AC">
        <w:t xml:space="preserve"> (2008)</w:t>
      </w:r>
      <w:r w:rsidR="00D27962">
        <w:t xml:space="preserve"> </w:t>
      </w:r>
    </w:p>
    <w:p w14:paraId="394FA426" w14:textId="77777777" w:rsidR="004B27AD" w:rsidRPr="00CF15AC" w:rsidRDefault="004B27AD" w:rsidP="004B27AD">
      <w:pPr>
        <w:pStyle w:val="Reference0"/>
      </w:pPr>
    </w:p>
    <w:p w14:paraId="789C1B58" w14:textId="17D1E5FF" w:rsidR="00CF15AC" w:rsidRDefault="00CF15AC" w:rsidP="004B27AD">
      <w:pPr>
        <w:pStyle w:val="Reference0"/>
      </w:pPr>
      <w:r>
        <w:t>Action Agenda (2012)</w:t>
      </w:r>
    </w:p>
    <w:p w14:paraId="3F591DC5" w14:textId="77777777" w:rsidR="004B27AD" w:rsidRPr="00CF15AC" w:rsidRDefault="004B27AD" w:rsidP="004B27AD">
      <w:pPr>
        <w:pStyle w:val="Reference0"/>
      </w:pPr>
    </w:p>
    <w:p w14:paraId="12DAF59C" w14:textId="26303BC9" w:rsidR="00C67F9F" w:rsidRDefault="00C67F9F" w:rsidP="004B27AD">
      <w:pPr>
        <w:pStyle w:val="Reference0"/>
      </w:pPr>
      <w:proofErr w:type="spellStart"/>
      <w:r>
        <w:rPr>
          <w:caps/>
        </w:rPr>
        <w:t>A</w:t>
      </w:r>
      <w:r>
        <w:t>dger</w:t>
      </w:r>
      <w:proofErr w:type="spellEnd"/>
      <w:r>
        <w:t>, W.N., 2006.  Vulnerability. Glob Environ Change. 16:268-81.</w:t>
      </w:r>
    </w:p>
    <w:p w14:paraId="58D7F1D8" w14:textId="77777777" w:rsidR="004B27AD" w:rsidRPr="00C67F9F" w:rsidRDefault="004B27AD" w:rsidP="004B27AD">
      <w:pPr>
        <w:pStyle w:val="Reference0"/>
        <w:rPr>
          <w:caps/>
        </w:rPr>
      </w:pPr>
    </w:p>
    <w:p w14:paraId="1DE2DE7F" w14:textId="77777777" w:rsidR="00387134" w:rsidRDefault="00387134" w:rsidP="004B27AD">
      <w:pPr>
        <w:pStyle w:val="Reference0"/>
      </w:pPr>
      <w:proofErr w:type="spellStart"/>
      <w:r w:rsidRPr="00387134">
        <w:t>Balmford</w:t>
      </w:r>
      <w:proofErr w:type="spellEnd"/>
      <w:r w:rsidRPr="00387134">
        <w:t xml:space="preserve"> et al (2009)</w:t>
      </w:r>
    </w:p>
    <w:p w14:paraId="6F65DF28" w14:textId="77777777" w:rsidR="004B27AD" w:rsidRPr="00387134" w:rsidRDefault="004B27AD" w:rsidP="004B27AD">
      <w:pPr>
        <w:pStyle w:val="Reference0"/>
      </w:pPr>
    </w:p>
    <w:p w14:paraId="65E29913" w14:textId="4704175F" w:rsidR="00E4381A" w:rsidRDefault="00E4381A" w:rsidP="004B27AD">
      <w:pPr>
        <w:pStyle w:val="Reference0"/>
      </w:pPr>
      <w:r>
        <w:t xml:space="preserve">Ban, N.C., H.M. </w:t>
      </w:r>
      <w:proofErr w:type="spellStart"/>
      <w:r>
        <w:t>Alidina</w:t>
      </w:r>
      <w:proofErr w:type="spellEnd"/>
      <w:r>
        <w:t xml:space="preserve">, J.A. </w:t>
      </w:r>
      <w:proofErr w:type="spellStart"/>
      <w:r>
        <w:t>Ardron</w:t>
      </w:r>
      <w:proofErr w:type="spellEnd"/>
      <w:r>
        <w:t>, 2010.  Cumulative impact mapping: Advances, relevance and limitations to mari</w:t>
      </w:r>
      <w:r w:rsidR="00856279">
        <w:t xml:space="preserve">ne management and conservation, </w:t>
      </w:r>
      <w:r>
        <w:t>using Canada's Pacific waters as a case study, Marine Policy, 34(5): 876-886.</w:t>
      </w:r>
    </w:p>
    <w:p w14:paraId="74000C4E" w14:textId="14C3DF06" w:rsidR="00E4381A" w:rsidRDefault="004B27AD" w:rsidP="004B27AD">
      <w:pPr>
        <w:pStyle w:val="Reference0"/>
      </w:pPr>
      <w:r>
        <w:t>&lt;</w:t>
      </w:r>
      <w:r w:rsidRPr="004B27AD">
        <w:t>http://www.sciencedirect.com/science/article/pii/S0308597X10000114</w:t>
      </w:r>
      <w:r>
        <w:t>&gt;</w:t>
      </w:r>
    </w:p>
    <w:p w14:paraId="6AFB0423" w14:textId="77777777" w:rsidR="004B27AD" w:rsidRDefault="004B27AD" w:rsidP="004B27AD">
      <w:pPr>
        <w:pStyle w:val="Reference0"/>
      </w:pPr>
    </w:p>
    <w:p w14:paraId="6A4F6CDB" w14:textId="77777777" w:rsidR="008D5799" w:rsidRDefault="008D5799" w:rsidP="004B27AD">
      <w:pPr>
        <w:pStyle w:val="Reference0"/>
      </w:pPr>
      <w:proofErr w:type="spellStart"/>
      <w:proofErr w:type="gramStart"/>
      <w:r>
        <w:t>Burgman</w:t>
      </w:r>
      <w:proofErr w:type="spellEnd"/>
      <w:r>
        <w:t>, M., 2005.</w:t>
      </w:r>
      <w:proofErr w:type="gramEnd"/>
      <w:r>
        <w:t xml:space="preserve"> </w:t>
      </w:r>
      <w:proofErr w:type="gramStart"/>
      <w:r>
        <w:t>Risks and Decisions for Conservation and Environmental Management.</w:t>
      </w:r>
      <w:proofErr w:type="gramEnd"/>
      <w:r>
        <w:t xml:space="preserve"> </w:t>
      </w:r>
      <w:proofErr w:type="gramStart"/>
      <w:r>
        <w:t>Cambridge University Press, Cambridge, UK.</w:t>
      </w:r>
      <w:proofErr w:type="gramEnd"/>
    </w:p>
    <w:p w14:paraId="748A0D54" w14:textId="77777777" w:rsidR="006D3361" w:rsidRDefault="006D3361" w:rsidP="006D3361">
      <w:pPr>
        <w:widowControl/>
        <w:spacing w:before="0" w:after="0" w:line="240" w:lineRule="auto"/>
        <w:rPr>
          <w:rFonts w:ascii="Calibri" w:eastAsiaTheme="minorHAnsi" w:hAnsi="Calibri" w:cs="Calibri"/>
          <w:color w:val="auto"/>
        </w:rPr>
      </w:pPr>
      <w:proofErr w:type="gramStart"/>
      <w:r>
        <w:rPr>
          <w:rFonts w:ascii="Calibri" w:eastAsiaTheme="minorHAnsi" w:hAnsi="Calibri" w:cs="Calibri"/>
          <w:color w:val="auto"/>
        </w:rPr>
        <w:t xml:space="preserve">Carr, E. R., P.M. </w:t>
      </w:r>
      <w:proofErr w:type="spellStart"/>
      <w:r>
        <w:rPr>
          <w:rFonts w:ascii="Calibri" w:eastAsiaTheme="minorHAnsi" w:hAnsi="Calibri" w:cs="Calibri"/>
          <w:color w:val="auto"/>
        </w:rPr>
        <w:t>Wingard</w:t>
      </w:r>
      <w:proofErr w:type="spellEnd"/>
      <w:r>
        <w:rPr>
          <w:rFonts w:ascii="Calibri" w:eastAsiaTheme="minorHAnsi" w:hAnsi="Calibri" w:cs="Calibri"/>
          <w:color w:val="auto"/>
        </w:rPr>
        <w:t xml:space="preserve">, S. C. </w:t>
      </w:r>
      <w:proofErr w:type="spellStart"/>
      <w:r>
        <w:rPr>
          <w:rFonts w:ascii="Calibri" w:eastAsiaTheme="minorHAnsi" w:hAnsi="Calibri" w:cs="Calibri"/>
          <w:color w:val="auto"/>
        </w:rPr>
        <w:t>Yorty</w:t>
      </w:r>
      <w:proofErr w:type="spellEnd"/>
      <w:r>
        <w:rPr>
          <w:rFonts w:ascii="Calibri" w:eastAsiaTheme="minorHAnsi" w:hAnsi="Calibri" w:cs="Calibri"/>
          <w:color w:val="auto"/>
        </w:rPr>
        <w:t>, M. C. Thompson, N. K. Jensen, and J. Roberson, 2007.</w:t>
      </w:r>
      <w:proofErr w:type="gramEnd"/>
      <w:r>
        <w:rPr>
          <w:rFonts w:ascii="Calibri" w:eastAsiaTheme="minorHAnsi" w:hAnsi="Calibri" w:cs="Calibri"/>
          <w:color w:val="auto"/>
        </w:rPr>
        <w:t xml:space="preserve"> Applying </w:t>
      </w:r>
    </w:p>
    <w:p w14:paraId="6F2E38A4" w14:textId="77777777" w:rsidR="006D3361" w:rsidRDefault="006D3361" w:rsidP="006D3361">
      <w:pPr>
        <w:widowControl/>
        <w:spacing w:before="0" w:after="0" w:line="240" w:lineRule="auto"/>
        <w:rPr>
          <w:rFonts w:ascii="Calibri" w:eastAsiaTheme="minorHAnsi" w:hAnsi="Calibri" w:cs="Calibri"/>
          <w:color w:val="auto"/>
        </w:rPr>
      </w:pPr>
      <w:proofErr w:type="gramStart"/>
      <w:r>
        <w:rPr>
          <w:rFonts w:ascii="Calibri" w:eastAsiaTheme="minorHAnsi" w:hAnsi="Calibri" w:cs="Calibri"/>
          <w:color w:val="auto"/>
        </w:rPr>
        <w:t>DPSIR to sustainable development.</w:t>
      </w:r>
      <w:proofErr w:type="gramEnd"/>
      <w:r>
        <w:rPr>
          <w:rFonts w:ascii="Calibri" w:eastAsiaTheme="minorHAnsi" w:hAnsi="Calibri" w:cs="Calibri"/>
          <w:color w:val="auto"/>
        </w:rPr>
        <w:t xml:space="preserve">  International Journal of Sustainable Development and </w:t>
      </w:r>
    </w:p>
    <w:p w14:paraId="5B3FCDCF" w14:textId="77777777" w:rsidR="006D3361" w:rsidRPr="009F3D2E" w:rsidRDefault="006D3361" w:rsidP="006D3361">
      <w:pPr>
        <w:widowControl/>
        <w:spacing w:before="0" w:after="0" w:line="240" w:lineRule="auto"/>
        <w:rPr>
          <w:rFonts w:ascii="Calibri" w:eastAsiaTheme="minorHAnsi" w:hAnsi="Calibri" w:cs="Calibri"/>
          <w:color w:val="auto"/>
        </w:rPr>
      </w:pPr>
      <w:r>
        <w:rPr>
          <w:rFonts w:ascii="Calibri" w:eastAsiaTheme="minorHAnsi" w:hAnsi="Calibri" w:cs="Calibri"/>
          <w:color w:val="auto"/>
        </w:rPr>
        <w:t xml:space="preserve">World Ecology, 14:543-555. </w:t>
      </w:r>
    </w:p>
    <w:p w14:paraId="0069C3D2" w14:textId="77777777" w:rsidR="006D3361" w:rsidRDefault="006D3361" w:rsidP="004B27AD">
      <w:pPr>
        <w:pStyle w:val="Reference0"/>
      </w:pPr>
    </w:p>
    <w:p w14:paraId="3596FE29" w14:textId="6F952130" w:rsidR="00574CE2" w:rsidRDefault="00574CE2" w:rsidP="004B27AD">
      <w:pPr>
        <w:pStyle w:val="Reference0"/>
      </w:pPr>
      <w:proofErr w:type="spellStart"/>
      <w:r>
        <w:t>Charniak</w:t>
      </w:r>
      <w:proofErr w:type="spellEnd"/>
      <w:r>
        <w:t>, E., 1991</w:t>
      </w:r>
      <w:r w:rsidRPr="00574CE2">
        <w:t>. Bayesian networks without tears.</w:t>
      </w:r>
      <w:r>
        <w:t xml:space="preserve"> AI magazine, 12(4):</w:t>
      </w:r>
      <w:r w:rsidRPr="00574CE2">
        <w:t>50.</w:t>
      </w:r>
    </w:p>
    <w:p w14:paraId="4BAAE2F7" w14:textId="77777777" w:rsidR="00574CE2" w:rsidRDefault="00574CE2" w:rsidP="004B27AD">
      <w:pPr>
        <w:pStyle w:val="Reference0"/>
      </w:pPr>
    </w:p>
    <w:p w14:paraId="040FEBBF" w14:textId="77777777" w:rsidR="008D5799" w:rsidRDefault="008D5799" w:rsidP="004B27AD">
      <w:pPr>
        <w:pStyle w:val="Reference0"/>
      </w:pPr>
      <w:r>
        <w:t xml:space="preserve">Chen, J. C., Landis W. G. 2005. </w:t>
      </w:r>
      <w:proofErr w:type="gramStart"/>
      <w:r>
        <w:t xml:space="preserve">Chapter 10 Using the Relative Risk Model for a Regional-Scale Ecological Risk Assessment of the </w:t>
      </w:r>
      <w:proofErr w:type="spellStart"/>
      <w:r>
        <w:t>Squalicum</w:t>
      </w:r>
      <w:proofErr w:type="spellEnd"/>
      <w:r>
        <w:t xml:space="preserve"> Creek Watershed.</w:t>
      </w:r>
      <w:proofErr w:type="gramEnd"/>
      <w:r>
        <w:t xml:space="preserve">  </w:t>
      </w:r>
      <w:proofErr w:type="gramStart"/>
      <w:r>
        <w:t>In W. G. Landis editor Regional Scale Ecological Risk Assessment Using the Relative Risk Model.</w:t>
      </w:r>
      <w:proofErr w:type="gramEnd"/>
      <w:r>
        <w:t xml:space="preserve"> CRC Press Boca Raton </w:t>
      </w:r>
      <w:proofErr w:type="spellStart"/>
      <w:r>
        <w:t>pp</w:t>
      </w:r>
      <w:proofErr w:type="spellEnd"/>
      <w:r>
        <w:t xml:space="preserve"> 195-230</w:t>
      </w:r>
    </w:p>
    <w:p w14:paraId="54D0D7FE" w14:textId="77777777" w:rsidR="004B27AD" w:rsidRDefault="004B27AD" w:rsidP="004B27AD">
      <w:pPr>
        <w:pStyle w:val="Reference0"/>
      </w:pPr>
    </w:p>
    <w:p w14:paraId="2F439854" w14:textId="0A229FC2" w:rsidR="000C5F99" w:rsidRDefault="000C5F99" w:rsidP="004B27AD">
      <w:pPr>
        <w:pStyle w:val="Reference0"/>
      </w:pPr>
      <w:proofErr w:type="spellStart"/>
      <w:r>
        <w:t>Clemen</w:t>
      </w:r>
      <w:proofErr w:type="spellEnd"/>
      <w:r>
        <w:t>, R.</w:t>
      </w:r>
      <w:r w:rsidRPr="000C5F99">
        <w:t>T.</w:t>
      </w:r>
      <w:r>
        <w:t>, 1996.</w:t>
      </w:r>
      <w:r w:rsidRPr="000C5F99">
        <w:t xml:space="preserve"> Making hard decisions: an introduction to decision analysis. </w:t>
      </w:r>
      <w:r>
        <w:t>Duxbury Press, New York. 664 pp.</w:t>
      </w:r>
    </w:p>
    <w:p w14:paraId="2FFB3FF1" w14:textId="77777777" w:rsidR="004B27AD" w:rsidRDefault="004B27AD" w:rsidP="004B27AD">
      <w:pPr>
        <w:pStyle w:val="Reference0"/>
      </w:pPr>
    </w:p>
    <w:p w14:paraId="2E1AF109" w14:textId="07B08856" w:rsidR="00A7767F" w:rsidRDefault="00A7767F" w:rsidP="004B27AD">
      <w:pPr>
        <w:pStyle w:val="Reference0"/>
      </w:pPr>
      <w:proofErr w:type="gramStart"/>
      <w:r>
        <w:t>CMP (Conservation Measures Partnership), 2013.</w:t>
      </w:r>
      <w:proofErr w:type="gramEnd"/>
      <w:r>
        <w:t xml:space="preserve"> Open Standards for the Practice of Conservation, Version 3.0.</w:t>
      </w:r>
    </w:p>
    <w:p w14:paraId="03BCE092" w14:textId="1A6B05C4" w:rsidR="00A7767F" w:rsidRDefault="00A7767F" w:rsidP="004B27AD">
      <w:pPr>
        <w:pStyle w:val="Reference0"/>
      </w:pPr>
      <w:r>
        <w:t>&lt;</w:t>
      </w:r>
      <w:r w:rsidRPr="00A7767F">
        <w:t>http://www.conservationmeasures.org/wp-content/uploads/2013/05/CMP-OS-V3-0-Final.pdf</w:t>
      </w:r>
      <w:r>
        <w:t>&gt;</w:t>
      </w:r>
    </w:p>
    <w:p w14:paraId="053AD07D" w14:textId="77777777" w:rsidR="00A7767F" w:rsidRDefault="00A7767F" w:rsidP="004B27AD">
      <w:pPr>
        <w:pStyle w:val="Reference0"/>
      </w:pPr>
    </w:p>
    <w:p w14:paraId="6335879E" w14:textId="7E043D9E" w:rsidR="008D5799" w:rsidRDefault="008D5799" w:rsidP="004B27AD">
      <w:pPr>
        <w:pStyle w:val="Reference0"/>
      </w:pPr>
      <w:proofErr w:type="spellStart"/>
      <w:r>
        <w:t>Colnar</w:t>
      </w:r>
      <w:proofErr w:type="spellEnd"/>
      <w:r>
        <w:t xml:space="preserve">, AM and Landis WG.2007. Conceptual model development for invasive species and a regional risk assessment case study: the European Green Crab, </w:t>
      </w:r>
      <w:proofErr w:type="spellStart"/>
      <w:r>
        <w:t>Carcinus</w:t>
      </w:r>
      <w:proofErr w:type="spellEnd"/>
      <w:r>
        <w:t xml:space="preserve"> </w:t>
      </w:r>
      <w:proofErr w:type="spellStart"/>
      <w:r>
        <w:t>maenas</w:t>
      </w:r>
      <w:proofErr w:type="spellEnd"/>
      <w:r>
        <w:t xml:space="preserve">, at Cherry Point, Washington USA, Human and Ecological Risk Assessment. 13:120-155. </w:t>
      </w:r>
    </w:p>
    <w:p w14:paraId="7199AFD4" w14:textId="77777777" w:rsidR="004B27AD" w:rsidRDefault="004B27AD" w:rsidP="004B27AD">
      <w:pPr>
        <w:pStyle w:val="Reference0"/>
      </w:pPr>
    </w:p>
    <w:p w14:paraId="7094582F" w14:textId="75C5C310" w:rsidR="009B7035" w:rsidRDefault="009B7035" w:rsidP="009B7035">
      <w:pPr>
        <w:pStyle w:val="Reference0"/>
      </w:pPr>
      <w:r>
        <w:t>Crain, C.M., C.S Halpern</w:t>
      </w:r>
      <w:proofErr w:type="gramStart"/>
      <w:r>
        <w:t>.,</w:t>
      </w:r>
      <w:proofErr w:type="gramEnd"/>
      <w:r>
        <w:t xml:space="preserve"> M.W. Beck, and C.V. </w:t>
      </w:r>
      <w:proofErr w:type="spellStart"/>
      <w:r>
        <w:t>Kappel</w:t>
      </w:r>
      <w:proofErr w:type="spellEnd"/>
      <w:r>
        <w:t xml:space="preserve">, 2009. </w:t>
      </w:r>
      <w:proofErr w:type="gramStart"/>
      <w:r>
        <w:t>Understanding and managing human threats to the coastal marine environment.</w:t>
      </w:r>
      <w:proofErr w:type="gramEnd"/>
      <w:r>
        <w:t xml:space="preserve"> </w:t>
      </w:r>
      <w:proofErr w:type="gramStart"/>
      <w:r>
        <w:t>The Year in Ecology and Conservation Biology, 2009.</w:t>
      </w:r>
      <w:proofErr w:type="gramEnd"/>
      <w:r>
        <w:t xml:space="preserve"> Ann. N.Y. Acad. Sci. 1162: 39-62.</w:t>
      </w:r>
    </w:p>
    <w:p w14:paraId="4FF16CD7" w14:textId="77777777" w:rsidR="009B7035" w:rsidRDefault="009B7035" w:rsidP="009B7035">
      <w:pPr>
        <w:pStyle w:val="Reference0"/>
      </w:pPr>
    </w:p>
    <w:p w14:paraId="45FDC8C3" w14:textId="2FBD8D88" w:rsidR="004F6E3E" w:rsidRDefault="004F6E3E" w:rsidP="004B27AD">
      <w:pPr>
        <w:pStyle w:val="Reference0"/>
      </w:pPr>
      <w:proofErr w:type="gramStart"/>
      <w:r>
        <w:t xml:space="preserve">De Lange, H.J., </w:t>
      </w:r>
      <w:r w:rsidR="00E1710D">
        <w:t xml:space="preserve">S. </w:t>
      </w:r>
      <w:proofErr w:type="spellStart"/>
      <w:r w:rsidRPr="004F6E3E">
        <w:t>Sala</w:t>
      </w:r>
      <w:proofErr w:type="spellEnd"/>
      <w:r>
        <w:t>,</w:t>
      </w:r>
      <w:r w:rsidR="00E1710D">
        <w:t xml:space="preserve"> M.</w:t>
      </w:r>
      <w:r>
        <w:t xml:space="preserve"> </w:t>
      </w:r>
      <w:proofErr w:type="spellStart"/>
      <w:r w:rsidRPr="004F6E3E">
        <w:t>Vighi</w:t>
      </w:r>
      <w:proofErr w:type="spellEnd"/>
      <w:r>
        <w:t xml:space="preserve">, and </w:t>
      </w:r>
      <w:r w:rsidR="00E1710D">
        <w:t>J.H. Faber</w:t>
      </w:r>
      <w:r>
        <w:t>, 2010.</w:t>
      </w:r>
      <w:proofErr w:type="gramEnd"/>
      <w:r>
        <w:t xml:space="preserve"> </w:t>
      </w:r>
      <w:proofErr w:type="gramStart"/>
      <w:r w:rsidR="00E1710D" w:rsidRPr="00E1710D">
        <w:t>Ecological vulnerability in risk assessment — A review and perspectives</w:t>
      </w:r>
      <w:r w:rsidR="00E1710D">
        <w:t>.</w:t>
      </w:r>
      <w:proofErr w:type="gramEnd"/>
      <w:r w:rsidR="00E1710D">
        <w:t xml:space="preserve">  </w:t>
      </w:r>
      <w:r w:rsidRPr="004F6E3E">
        <w:t>S</w:t>
      </w:r>
      <w:r w:rsidR="00C67F9F">
        <w:t>c</w:t>
      </w:r>
      <w:r w:rsidR="00E1710D">
        <w:t xml:space="preserve">ience of the Total Environment, </w:t>
      </w:r>
      <w:r w:rsidR="00C67F9F">
        <w:t>408:3871–</w:t>
      </w:r>
      <w:r w:rsidRPr="004F6E3E">
        <w:t>9</w:t>
      </w:r>
      <w:r w:rsidR="00C67F9F">
        <w:t>.</w:t>
      </w:r>
    </w:p>
    <w:p w14:paraId="648E0044" w14:textId="77777777" w:rsidR="00E1710D" w:rsidRDefault="00E1710D" w:rsidP="004B27AD">
      <w:pPr>
        <w:pStyle w:val="Reference0"/>
      </w:pPr>
    </w:p>
    <w:p w14:paraId="4076B1AB" w14:textId="2A9813EA" w:rsidR="006558C5" w:rsidRDefault="006558C5" w:rsidP="004B27AD">
      <w:pPr>
        <w:pStyle w:val="Reference0"/>
      </w:pPr>
      <w:proofErr w:type="spellStart"/>
      <w:r w:rsidRPr="006558C5">
        <w:t>Donlan</w:t>
      </w:r>
      <w:proofErr w:type="spellEnd"/>
      <w:r w:rsidRPr="006558C5">
        <w:t xml:space="preserve">, C. J., </w:t>
      </w:r>
      <w:r>
        <w:t xml:space="preserve">D. K. </w:t>
      </w:r>
      <w:proofErr w:type="spellStart"/>
      <w:r w:rsidRPr="006558C5">
        <w:t>Wi</w:t>
      </w:r>
      <w:r>
        <w:t>ngfield</w:t>
      </w:r>
      <w:proofErr w:type="spellEnd"/>
      <w:r>
        <w:t>, L.B. Crowder, a</w:t>
      </w:r>
      <w:r w:rsidRPr="006558C5">
        <w:t xml:space="preserve">nd </w:t>
      </w:r>
      <w:r>
        <w:t xml:space="preserve">C. </w:t>
      </w:r>
      <w:r w:rsidRPr="006558C5">
        <w:t>Wilcox</w:t>
      </w:r>
      <w:r>
        <w:t>, 2010.</w:t>
      </w:r>
      <w:r w:rsidRPr="006558C5">
        <w:t xml:space="preserve"> Using expert opinion surveys to rank threats to endangered species: A case study with sea turtles. Conservation Biology, 24: 1586–1595.</w:t>
      </w:r>
    </w:p>
    <w:p w14:paraId="4290FEBF" w14:textId="77777777" w:rsidR="004B27AD" w:rsidRDefault="004B27AD" w:rsidP="004B27AD">
      <w:pPr>
        <w:pStyle w:val="Reference0"/>
      </w:pPr>
    </w:p>
    <w:p w14:paraId="6E1CF9C8" w14:textId="77777777" w:rsidR="006D3361" w:rsidRDefault="006D3361" w:rsidP="006D3361">
      <w:pPr>
        <w:pStyle w:val="Reference0"/>
        <w:rPr>
          <w:rFonts w:eastAsiaTheme="minorHAnsi"/>
        </w:rPr>
      </w:pPr>
      <w:proofErr w:type="gramStart"/>
      <w:r>
        <w:rPr>
          <w:rFonts w:eastAsiaTheme="minorHAnsi"/>
        </w:rPr>
        <w:lastRenderedPageBreak/>
        <w:t>EEA (European Environmental Agency), 1999.</w:t>
      </w:r>
      <w:proofErr w:type="gramEnd"/>
      <w:r>
        <w:rPr>
          <w:rFonts w:eastAsiaTheme="minorHAnsi"/>
        </w:rPr>
        <w:t xml:space="preserve"> Environmental indicators: Typology and overview. </w:t>
      </w:r>
    </w:p>
    <w:p w14:paraId="68A76132" w14:textId="77777777" w:rsidR="006D3361" w:rsidRPr="009F3D2E" w:rsidRDefault="006D3361" w:rsidP="006D3361">
      <w:pPr>
        <w:pStyle w:val="Reference0"/>
        <w:rPr>
          <w:rFonts w:eastAsiaTheme="minorHAnsi"/>
        </w:rPr>
      </w:pPr>
      <w:r>
        <w:rPr>
          <w:rFonts w:eastAsiaTheme="minorHAnsi"/>
        </w:rPr>
        <w:t xml:space="preserve">European Environmental Agency, Copenhagen. </w:t>
      </w:r>
    </w:p>
    <w:p w14:paraId="78489899" w14:textId="77777777" w:rsidR="006D3361" w:rsidRDefault="006D3361" w:rsidP="006D3361">
      <w:pPr>
        <w:pStyle w:val="Reference0"/>
      </w:pPr>
    </w:p>
    <w:p w14:paraId="51BC9788" w14:textId="1FC80274" w:rsidR="00955EB9" w:rsidRDefault="00955EB9" w:rsidP="004B27AD">
      <w:pPr>
        <w:pStyle w:val="Reference0"/>
      </w:pPr>
      <w:proofErr w:type="spellStart"/>
      <w:r w:rsidRPr="00955EB9">
        <w:t>Feist</w:t>
      </w:r>
      <w:proofErr w:type="spellEnd"/>
      <w:r w:rsidRPr="00955EB9">
        <w:t xml:space="preserve"> BE, </w:t>
      </w:r>
      <w:proofErr w:type="spellStart"/>
      <w:r w:rsidRPr="00955EB9">
        <w:t>Buhle</w:t>
      </w:r>
      <w:proofErr w:type="spellEnd"/>
      <w:r w:rsidRPr="00955EB9">
        <w:t xml:space="preserve"> ER, Arnold P, Davis JW, </w:t>
      </w:r>
      <w:proofErr w:type="spellStart"/>
      <w:r w:rsidRPr="00955EB9">
        <w:t>Scholz</w:t>
      </w:r>
      <w:proofErr w:type="spellEnd"/>
      <w:r w:rsidRPr="00955EB9">
        <w:t xml:space="preserve"> NL. 2011. Landscape ecotoxicology of Coho salmon </w:t>
      </w:r>
      <w:proofErr w:type="spellStart"/>
      <w:r w:rsidRPr="00955EB9">
        <w:t>spawner</w:t>
      </w:r>
      <w:proofErr w:type="spellEnd"/>
      <w:r w:rsidRPr="00955EB9">
        <w:t xml:space="preserve"> mortality in urban streams.  </w:t>
      </w:r>
      <w:proofErr w:type="spellStart"/>
      <w:r w:rsidRPr="00955EB9">
        <w:t>Plos</w:t>
      </w:r>
      <w:proofErr w:type="spellEnd"/>
      <w:r w:rsidRPr="00955EB9">
        <w:t xml:space="preserve"> ONE 6:e23424</w:t>
      </w:r>
    </w:p>
    <w:p w14:paraId="4F89B961" w14:textId="77777777" w:rsidR="004B27AD" w:rsidRDefault="004B27AD" w:rsidP="004B27AD">
      <w:pPr>
        <w:pStyle w:val="Reference0"/>
      </w:pPr>
    </w:p>
    <w:p w14:paraId="4589B2F6" w14:textId="1A18D8EB" w:rsidR="00A027AD" w:rsidRDefault="00A027AD" w:rsidP="004B27AD">
      <w:pPr>
        <w:pStyle w:val="Reference0"/>
      </w:pPr>
      <w:r>
        <w:t xml:space="preserve">Fresh K., M. </w:t>
      </w:r>
      <w:proofErr w:type="spellStart"/>
      <w:r>
        <w:t>Dethier</w:t>
      </w:r>
      <w:proofErr w:type="spellEnd"/>
      <w:r>
        <w:t xml:space="preserve">, C. </w:t>
      </w:r>
      <w:proofErr w:type="spellStart"/>
      <w:r>
        <w:t>Simenstad</w:t>
      </w:r>
      <w:proofErr w:type="spellEnd"/>
      <w:r>
        <w:t xml:space="preserve">, M. Logsdon, H. Shipman, C. Tanner, T. </w:t>
      </w:r>
      <w:proofErr w:type="spellStart"/>
      <w:r>
        <w:t>Leschine</w:t>
      </w:r>
      <w:proofErr w:type="spellEnd"/>
      <w:r>
        <w:t xml:space="preserve">, T. Mumford, G. </w:t>
      </w:r>
      <w:proofErr w:type="spellStart"/>
      <w:r>
        <w:t>Gelfenbaum</w:t>
      </w:r>
      <w:proofErr w:type="spellEnd"/>
      <w:r>
        <w:t xml:space="preserve">, R. Shuman, and J. Newton, 2011. </w:t>
      </w:r>
      <w:proofErr w:type="gramStart"/>
      <w:r>
        <w:t>Implications of Observed Anthropogenic Changes to the Nearshore Ecosystems in Puget Sound.</w:t>
      </w:r>
      <w:proofErr w:type="gramEnd"/>
      <w:r>
        <w:t xml:space="preserve"> Prepared for the Puget Sound Nearshore Ecosystem Restoration Project. </w:t>
      </w:r>
      <w:proofErr w:type="gramStart"/>
      <w:r>
        <w:t>Technical Report 2011-03.</w:t>
      </w:r>
      <w:proofErr w:type="gramEnd"/>
    </w:p>
    <w:p w14:paraId="46466877" w14:textId="4F4FC6F8" w:rsidR="00A027AD" w:rsidRDefault="00A027AD" w:rsidP="004B27AD">
      <w:pPr>
        <w:pStyle w:val="Reference0"/>
      </w:pPr>
      <w:r>
        <w:t>&lt;</w:t>
      </w:r>
      <w:r w:rsidRPr="00A027AD">
        <w:t xml:space="preserve"> </w:t>
      </w:r>
      <w:r w:rsidR="004B27AD" w:rsidRPr="004B27AD">
        <w:t>http://www.pugetsoundnearshore.org/technical_papers/implications_of_observed_ns_change.pdf</w:t>
      </w:r>
      <w:r>
        <w:t>&gt;</w:t>
      </w:r>
    </w:p>
    <w:p w14:paraId="1660C8D2" w14:textId="77777777" w:rsidR="004B27AD" w:rsidRDefault="004B27AD" w:rsidP="004B27AD">
      <w:pPr>
        <w:pStyle w:val="Reference0"/>
      </w:pPr>
    </w:p>
    <w:p w14:paraId="3D78EE7C" w14:textId="35FBC27B" w:rsidR="002175A0" w:rsidRDefault="002175A0" w:rsidP="004B27AD">
      <w:pPr>
        <w:pStyle w:val="Reference0"/>
      </w:pPr>
      <w:proofErr w:type="spellStart"/>
      <w:r>
        <w:t>Gelman</w:t>
      </w:r>
      <w:proofErr w:type="spellEnd"/>
      <w:r>
        <w:t>, A., J.B. Carlin, H.S. Stern, and D.</w:t>
      </w:r>
      <w:r w:rsidRPr="002175A0">
        <w:t>B. Rubin</w:t>
      </w:r>
      <w:r>
        <w:t xml:space="preserve">, 2003.  </w:t>
      </w:r>
      <w:r w:rsidRPr="002175A0">
        <w:t>Bayesian Data Analysis, Second Edition</w:t>
      </w:r>
      <w:r>
        <w:t xml:space="preserve">. </w:t>
      </w:r>
      <w:proofErr w:type="gramStart"/>
      <w:r w:rsidRPr="002175A0">
        <w:t>Chapman &amp; Hall/CRC Texts in Statistical Science</w:t>
      </w:r>
      <w:r>
        <w:t>.</w:t>
      </w:r>
      <w:proofErr w:type="gramEnd"/>
      <w:r>
        <w:t xml:space="preserve">  </w:t>
      </w:r>
      <w:r w:rsidR="004B27AD">
        <w:t>696 pp.</w:t>
      </w:r>
    </w:p>
    <w:p w14:paraId="2C3CDD1F" w14:textId="77777777" w:rsidR="004B27AD" w:rsidRDefault="004B27AD" w:rsidP="004B27AD">
      <w:pPr>
        <w:pStyle w:val="Reference0"/>
      </w:pPr>
    </w:p>
    <w:p w14:paraId="36912B06" w14:textId="117DCF39" w:rsidR="003B51BC" w:rsidRDefault="003B51BC" w:rsidP="003B51BC">
      <w:pPr>
        <w:pStyle w:val="Reference0"/>
      </w:pPr>
      <w:proofErr w:type="gramStart"/>
      <w:r>
        <w:t xml:space="preserve">Golden, N.H. and B.A. </w:t>
      </w:r>
      <w:proofErr w:type="spellStart"/>
      <w:r>
        <w:t>Rattner</w:t>
      </w:r>
      <w:proofErr w:type="spellEnd"/>
      <w:r>
        <w:t>, 2003.</w:t>
      </w:r>
      <w:proofErr w:type="gramEnd"/>
      <w:r>
        <w:t xml:space="preserve"> Ranking terrestrial vertebrate species for utility in </w:t>
      </w:r>
      <w:proofErr w:type="spellStart"/>
      <w:r>
        <w:t>biomonitoring</w:t>
      </w:r>
      <w:proofErr w:type="spellEnd"/>
    </w:p>
    <w:p w14:paraId="596A7137" w14:textId="0BD1FA59" w:rsidR="003B51BC" w:rsidRDefault="003B51BC" w:rsidP="003B51BC">
      <w:pPr>
        <w:pStyle w:val="Reference0"/>
      </w:pPr>
      <w:proofErr w:type="gramStart"/>
      <w:r>
        <w:t>and</w:t>
      </w:r>
      <w:proofErr w:type="gramEnd"/>
      <w:r>
        <w:t xml:space="preserve"> vulnerability to environmental contaminants. Rev Environ </w:t>
      </w:r>
      <w:proofErr w:type="spellStart"/>
      <w:r>
        <w:t>Contam</w:t>
      </w:r>
      <w:proofErr w:type="spellEnd"/>
      <w:r>
        <w:t xml:space="preserve"> </w:t>
      </w:r>
      <w:proofErr w:type="spellStart"/>
      <w:r>
        <w:t>Toxicol</w:t>
      </w:r>
      <w:proofErr w:type="spellEnd"/>
      <w:r>
        <w:t xml:space="preserve"> 176:67-136.</w:t>
      </w:r>
    </w:p>
    <w:p w14:paraId="0A85C074" w14:textId="77777777" w:rsidR="003B51BC" w:rsidRDefault="003B51BC" w:rsidP="003B51BC">
      <w:pPr>
        <w:pStyle w:val="Reference0"/>
      </w:pPr>
    </w:p>
    <w:p w14:paraId="2F237ECA" w14:textId="77777777" w:rsidR="00E1674B" w:rsidRPr="009F3D2E" w:rsidRDefault="00E1674B" w:rsidP="00E1674B">
      <w:pPr>
        <w:pStyle w:val="Reference0"/>
        <w:rPr>
          <w:rFonts w:eastAsiaTheme="minorHAnsi"/>
        </w:rPr>
      </w:pPr>
      <w:proofErr w:type="gramStart"/>
      <w:r>
        <w:rPr>
          <w:rFonts w:eastAsiaTheme="minorHAnsi"/>
        </w:rPr>
        <w:t>Gomez-</w:t>
      </w:r>
      <w:proofErr w:type="spellStart"/>
      <w:r>
        <w:rPr>
          <w:rFonts w:eastAsiaTheme="minorHAnsi"/>
        </w:rPr>
        <w:t>Baggethun</w:t>
      </w:r>
      <w:proofErr w:type="spellEnd"/>
      <w:r>
        <w:rPr>
          <w:rFonts w:eastAsiaTheme="minorHAnsi"/>
        </w:rPr>
        <w:t>, E., R. de Groot, P. L. Lomas, and C. Montes, 2009.</w:t>
      </w:r>
      <w:proofErr w:type="gramEnd"/>
      <w:r>
        <w:rPr>
          <w:rFonts w:eastAsiaTheme="minorHAnsi"/>
        </w:rPr>
        <w:t xml:space="preserve">  The history of ecosystem services in economic theory and practice: From early notions to markets and payments schemes. Ecological Economics, 69:1209-1218. </w:t>
      </w:r>
    </w:p>
    <w:p w14:paraId="7FC3C6A6" w14:textId="77777777" w:rsidR="00E1674B" w:rsidRDefault="00E1674B" w:rsidP="00E1674B">
      <w:pPr>
        <w:pStyle w:val="Reference0"/>
      </w:pPr>
    </w:p>
    <w:p w14:paraId="36C4E1D2" w14:textId="745BFF3C" w:rsidR="004F25D3" w:rsidRDefault="004F25D3" w:rsidP="004B27AD">
      <w:pPr>
        <w:pStyle w:val="Reference0"/>
      </w:pPr>
      <w:r>
        <w:t xml:space="preserve">Halpern, B.S., K.A. </w:t>
      </w:r>
      <w:proofErr w:type="spellStart"/>
      <w:r>
        <w:t>Selkoe</w:t>
      </w:r>
      <w:proofErr w:type="spellEnd"/>
      <w:r>
        <w:t xml:space="preserve">, F. </w:t>
      </w:r>
      <w:proofErr w:type="spellStart"/>
      <w:r>
        <w:t>Micheli</w:t>
      </w:r>
      <w:proofErr w:type="spellEnd"/>
      <w:r>
        <w:t xml:space="preserve">, and C.V. </w:t>
      </w:r>
      <w:proofErr w:type="spellStart"/>
      <w:r>
        <w:t>Kappel</w:t>
      </w:r>
      <w:proofErr w:type="spellEnd"/>
      <w:r>
        <w:t>, 2007.  Evaluating and ranking the vulnerability of global marine ecosystems to anthropogenic threats. Conservation Biology, 21: 1301-1315.</w:t>
      </w:r>
    </w:p>
    <w:p w14:paraId="5A4CE0DE" w14:textId="77777777" w:rsidR="004B27AD" w:rsidRDefault="004B27AD" w:rsidP="004B27AD">
      <w:pPr>
        <w:pStyle w:val="Reference0"/>
      </w:pPr>
    </w:p>
    <w:p w14:paraId="4EBA61BF" w14:textId="085B8DF9" w:rsidR="0003452B" w:rsidRDefault="0003452B" w:rsidP="006541A7">
      <w:pPr>
        <w:pStyle w:val="Reference0"/>
      </w:pPr>
      <w:r>
        <w:t xml:space="preserve">Halpern, B.S., S. Walbridge, K.A. </w:t>
      </w:r>
      <w:proofErr w:type="spellStart"/>
      <w:r>
        <w:t>Selkoe</w:t>
      </w:r>
      <w:proofErr w:type="spellEnd"/>
      <w:r>
        <w:t xml:space="preserve">, C.V. </w:t>
      </w:r>
      <w:proofErr w:type="spellStart"/>
      <w:r>
        <w:t>Kappel</w:t>
      </w:r>
      <w:proofErr w:type="spellEnd"/>
      <w:r>
        <w:t xml:space="preserve">, F. </w:t>
      </w:r>
      <w:proofErr w:type="spellStart"/>
      <w:r>
        <w:t>Micheli</w:t>
      </w:r>
      <w:proofErr w:type="spellEnd"/>
      <w:r>
        <w:t xml:space="preserve">, C. </w:t>
      </w:r>
      <w:proofErr w:type="spellStart"/>
      <w:r>
        <w:t>D’Agrosa</w:t>
      </w:r>
      <w:proofErr w:type="spellEnd"/>
      <w:r>
        <w:t xml:space="preserve">, J.F. </w:t>
      </w:r>
      <w:proofErr w:type="spellStart"/>
      <w:r>
        <w:t>Brunoa</w:t>
      </w:r>
      <w:proofErr w:type="spellEnd"/>
      <w:r>
        <w:t xml:space="preserve">, et al., 2008. </w:t>
      </w:r>
      <w:proofErr w:type="gramStart"/>
      <w:r>
        <w:t>A Global Map of Human Impact on Marine Ecosystems.</w:t>
      </w:r>
      <w:proofErr w:type="gramEnd"/>
      <w:r>
        <w:t xml:space="preserve"> Science 319: 948–952</w:t>
      </w:r>
      <w:r w:rsidR="004F25D3">
        <w:t>.</w:t>
      </w:r>
    </w:p>
    <w:p w14:paraId="47170CA5" w14:textId="77777777" w:rsidR="004B27AD" w:rsidRDefault="004B27AD" w:rsidP="006541A7">
      <w:pPr>
        <w:pStyle w:val="Reference0"/>
      </w:pPr>
    </w:p>
    <w:p w14:paraId="3B5A1C26" w14:textId="0E56381D" w:rsidR="0045704F" w:rsidRDefault="0045704F" w:rsidP="006541A7">
      <w:pPr>
        <w:pStyle w:val="Reference0"/>
      </w:pPr>
      <w:r>
        <w:t xml:space="preserve">Halpern, </w:t>
      </w:r>
      <w:r w:rsidR="00DA2E19">
        <w:t xml:space="preserve">B.S., </w:t>
      </w:r>
      <w:r>
        <w:t xml:space="preserve">C.V. </w:t>
      </w:r>
      <w:proofErr w:type="spellStart"/>
      <w:r>
        <w:t>Kappel</w:t>
      </w:r>
      <w:proofErr w:type="spellEnd"/>
      <w:r>
        <w:t xml:space="preserve">, K.A. </w:t>
      </w:r>
      <w:proofErr w:type="spellStart"/>
      <w:r>
        <w:t>Selkoe</w:t>
      </w:r>
      <w:proofErr w:type="spellEnd"/>
      <w:r>
        <w:t xml:space="preserve">, F. </w:t>
      </w:r>
      <w:proofErr w:type="spellStart"/>
      <w:r>
        <w:t>Micheli</w:t>
      </w:r>
      <w:proofErr w:type="spellEnd"/>
      <w:r>
        <w:t xml:space="preserve">, C.M. Ebert, C. </w:t>
      </w:r>
      <w:proofErr w:type="spellStart"/>
      <w:r>
        <w:t>Kontgis</w:t>
      </w:r>
      <w:proofErr w:type="spellEnd"/>
      <w:r>
        <w:t xml:space="preserve">, C.M. Crain, R.G. </w:t>
      </w:r>
      <w:proofErr w:type="spellStart"/>
      <w:r>
        <w:t>Martone</w:t>
      </w:r>
      <w:proofErr w:type="spellEnd"/>
      <w:r>
        <w:t xml:space="preserve">, C. Shearer, and S.J. </w:t>
      </w:r>
      <w:proofErr w:type="spellStart"/>
      <w:r>
        <w:t>Teck</w:t>
      </w:r>
      <w:proofErr w:type="spellEnd"/>
      <w:r>
        <w:t>, 2009. Mapping cumulative human impacts to California Current marine ecosystems.</w:t>
      </w:r>
      <w:r w:rsidR="002E1825">
        <w:t xml:space="preserve"> </w:t>
      </w:r>
      <w:r w:rsidR="002E1825" w:rsidRPr="002E1825">
        <w:t>Conservation Letters, 2: 138–148.</w:t>
      </w:r>
    </w:p>
    <w:p w14:paraId="07EDC123" w14:textId="77777777" w:rsidR="004B27AD" w:rsidRDefault="004B27AD" w:rsidP="006541A7">
      <w:pPr>
        <w:pStyle w:val="Reference0"/>
      </w:pPr>
    </w:p>
    <w:p w14:paraId="0BE4F46E" w14:textId="10A694EA" w:rsidR="00954779" w:rsidRDefault="00954779" w:rsidP="006541A7">
      <w:pPr>
        <w:pStyle w:val="Reference0"/>
      </w:pPr>
      <w:r w:rsidRPr="00954779">
        <w:t>Hart</w:t>
      </w:r>
      <w:r>
        <w:t>,</w:t>
      </w:r>
      <w:r w:rsidRPr="00954779">
        <w:t xml:space="preserve"> H</w:t>
      </w:r>
      <w:r>
        <w:t>.</w:t>
      </w:r>
      <w:r w:rsidRPr="00954779">
        <w:t xml:space="preserve">E. and </w:t>
      </w:r>
      <w:r>
        <w:t xml:space="preserve">W.G. Landis, </w:t>
      </w:r>
      <w:r w:rsidRPr="00954779">
        <w:t xml:space="preserve">2004. Regional ecological risk assessment of a nearshore marine environment: Cherry Point, WA. </w:t>
      </w:r>
      <w:proofErr w:type="gramStart"/>
      <w:r w:rsidRPr="00954779">
        <w:t>Human and Ecological Risk Assessment.</w:t>
      </w:r>
      <w:proofErr w:type="gramEnd"/>
      <w:r w:rsidRPr="00954779">
        <w:t xml:space="preserve"> 10: 299-325.</w:t>
      </w:r>
    </w:p>
    <w:p w14:paraId="421DAFCA" w14:textId="77777777" w:rsidR="004B27AD" w:rsidRDefault="004B27AD" w:rsidP="006541A7">
      <w:pPr>
        <w:pStyle w:val="Reference0"/>
      </w:pPr>
    </w:p>
    <w:p w14:paraId="5E1A95C6" w14:textId="4325F754" w:rsidR="00A53837" w:rsidRDefault="00A53837" w:rsidP="006541A7">
      <w:pPr>
        <w:pStyle w:val="Reference0"/>
      </w:pPr>
      <w:r>
        <w:t xml:space="preserve">Heinz Center, 2008. The State of the Nation's Ecosystems, 2008 Measuring the Land, Waters, and </w:t>
      </w:r>
      <w:proofErr w:type="spellStart"/>
      <w:r>
        <w:t>LivingResources</w:t>
      </w:r>
      <w:proofErr w:type="spellEnd"/>
      <w:r>
        <w:t xml:space="preserve"> of The United States. The H. John Heinz III Center for Science, Economics, and </w:t>
      </w:r>
      <w:proofErr w:type="spellStart"/>
      <w:r>
        <w:t>theEnvironment</w:t>
      </w:r>
      <w:proofErr w:type="spellEnd"/>
      <w:r>
        <w:t xml:space="preserve">. </w:t>
      </w:r>
      <w:proofErr w:type="gramStart"/>
      <w:r>
        <w:t>Island Press, Washington, D.C. 368 pp.</w:t>
      </w:r>
      <w:proofErr w:type="gramEnd"/>
    </w:p>
    <w:p w14:paraId="665897F0" w14:textId="77777777" w:rsidR="006541A7" w:rsidRDefault="006541A7" w:rsidP="006541A7">
      <w:pPr>
        <w:pStyle w:val="Reference0"/>
      </w:pPr>
    </w:p>
    <w:p w14:paraId="762E39BF" w14:textId="5E55852D" w:rsidR="008F30C7" w:rsidRDefault="008F30C7" w:rsidP="006541A7">
      <w:pPr>
        <w:pStyle w:val="Reference0"/>
      </w:pPr>
      <w:proofErr w:type="gramStart"/>
      <w:r>
        <w:t>HELCOM (the Helsinki Commission), 2010.</w:t>
      </w:r>
      <w:proofErr w:type="gramEnd"/>
      <w:r>
        <w:t xml:space="preserve"> Towards a tool for quantifying anthropogenic pressures and potential impacts on the Baltic Sea marine environment: A background document on the method, data and testing of the Baltic Sea Pressure and Impact Indices. </w:t>
      </w:r>
      <w:proofErr w:type="spellStart"/>
      <w:r>
        <w:t>Balt</w:t>
      </w:r>
      <w:proofErr w:type="spellEnd"/>
      <w:r>
        <w:t>. Sea Environ. Proc. No. 125.</w:t>
      </w:r>
    </w:p>
    <w:p w14:paraId="6FC9B790" w14:textId="77777777" w:rsidR="006541A7" w:rsidRDefault="006541A7" w:rsidP="006541A7">
      <w:pPr>
        <w:pStyle w:val="Reference0"/>
      </w:pPr>
    </w:p>
    <w:p w14:paraId="4DD6078E" w14:textId="3E83EBE8" w:rsidR="002542C5" w:rsidRDefault="002542C5" w:rsidP="004B27AD">
      <w:pPr>
        <w:pStyle w:val="Reference0"/>
      </w:pPr>
      <w:r>
        <w:t xml:space="preserve">Hines, </w:t>
      </w:r>
      <w:r w:rsidRPr="002542C5">
        <w:t>E</w:t>
      </w:r>
      <w:r>
        <w:t>.</w:t>
      </w:r>
      <w:r w:rsidRPr="002542C5">
        <w:t xml:space="preserve">E. 2013.  Regional risk assessment of the Puyallup River watershed and the evaluation of low impact development in meeting management goals.  </w:t>
      </w:r>
      <w:proofErr w:type="gramStart"/>
      <w:r w:rsidRPr="002542C5">
        <w:t>MS thesis, Western Washington University, Bellingham WA</w:t>
      </w:r>
      <w:r>
        <w:t>.</w:t>
      </w:r>
      <w:proofErr w:type="gramEnd"/>
    </w:p>
    <w:p w14:paraId="0DD86815" w14:textId="77777777" w:rsidR="004B27AD" w:rsidRDefault="004B27AD" w:rsidP="004B27AD">
      <w:pPr>
        <w:pStyle w:val="Reference0"/>
      </w:pPr>
    </w:p>
    <w:p w14:paraId="7D140707" w14:textId="752A6234" w:rsidR="003601BD" w:rsidRDefault="003601BD" w:rsidP="004B27AD">
      <w:pPr>
        <w:pStyle w:val="Reference0"/>
      </w:pPr>
      <w:r>
        <w:t>Howard, R. A., 1968</w:t>
      </w:r>
      <w:r w:rsidRPr="003601BD">
        <w:t xml:space="preserve">. </w:t>
      </w:r>
      <w:proofErr w:type="gramStart"/>
      <w:r w:rsidRPr="003601BD">
        <w:t>The foundations of decision analysis.</w:t>
      </w:r>
      <w:proofErr w:type="gramEnd"/>
      <w:r w:rsidRPr="003601BD">
        <w:t xml:space="preserve"> Systems Science and Cybernet</w:t>
      </w:r>
      <w:r>
        <w:t xml:space="preserve">ics, IEEE </w:t>
      </w:r>
      <w:r>
        <w:lastRenderedPageBreak/>
        <w:t>Transactions on.  4(3):</w:t>
      </w:r>
      <w:r w:rsidRPr="003601BD">
        <w:t>211-219.</w:t>
      </w:r>
    </w:p>
    <w:p w14:paraId="2E116EAD" w14:textId="77777777" w:rsidR="003601BD" w:rsidRDefault="003601BD" w:rsidP="004B27AD">
      <w:pPr>
        <w:pStyle w:val="Reference0"/>
      </w:pPr>
    </w:p>
    <w:p w14:paraId="201AC39B" w14:textId="5B56EC67" w:rsidR="00937BA2" w:rsidRDefault="00937BA2" w:rsidP="004B27AD">
      <w:pPr>
        <w:pStyle w:val="Reference0"/>
      </w:pPr>
      <w:r>
        <w:t xml:space="preserve">Howard, R. A., 1988. Decision analysis: practice and promise. </w:t>
      </w:r>
      <w:r>
        <w:rPr>
          <w:iCs/>
        </w:rPr>
        <w:t>Management S</w:t>
      </w:r>
      <w:r w:rsidRPr="00937BA2">
        <w:rPr>
          <w:iCs/>
        </w:rPr>
        <w:t>cience</w:t>
      </w:r>
      <w:r>
        <w:t xml:space="preserve">. </w:t>
      </w:r>
      <w:r w:rsidRPr="00937BA2">
        <w:rPr>
          <w:iCs/>
        </w:rPr>
        <w:t>34</w:t>
      </w:r>
      <w:r>
        <w:t>(6):</w:t>
      </w:r>
      <w:r w:rsidRPr="00937BA2">
        <w:t>6</w:t>
      </w:r>
      <w:r>
        <w:t>79-695.</w:t>
      </w:r>
    </w:p>
    <w:p w14:paraId="4D91BD15" w14:textId="77777777" w:rsidR="00937BA2" w:rsidRDefault="00937BA2" w:rsidP="004B27AD">
      <w:pPr>
        <w:pStyle w:val="Reference0"/>
      </w:pPr>
    </w:p>
    <w:p w14:paraId="6DCCC2A3" w14:textId="05E2D1CF" w:rsidR="00DC3EA7" w:rsidRDefault="00DC3EA7" w:rsidP="004B27AD">
      <w:pPr>
        <w:pStyle w:val="Reference0"/>
      </w:pPr>
      <w:r>
        <w:t xml:space="preserve">Howard, R. A., 1990. </w:t>
      </w:r>
      <w:proofErr w:type="gramStart"/>
      <w:r>
        <w:t>From influence to relevance to knowledge.</w:t>
      </w:r>
      <w:proofErr w:type="gramEnd"/>
      <w:r>
        <w:t xml:space="preserve"> </w:t>
      </w:r>
      <w:r w:rsidRPr="00DC3EA7">
        <w:rPr>
          <w:iCs/>
        </w:rPr>
        <w:t>Influence diagrams, belief nets and decision analysis</w:t>
      </w:r>
      <w:r>
        <w:t>.  3-23.</w:t>
      </w:r>
    </w:p>
    <w:p w14:paraId="48F71202" w14:textId="77777777" w:rsidR="00DC3EA7" w:rsidRDefault="00DC3EA7" w:rsidP="004B27AD">
      <w:pPr>
        <w:pStyle w:val="Reference0"/>
      </w:pPr>
    </w:p>
    <w:p w14:paraId="7BB51924" w14:textId="2ED478D4" w:rsidR="00D95C1E" w:rsidRDefault="00D95C1E" w:rsidP="004B27AD">
      <w:pPr>
        <w:pStyle w:val="Reference0"/>
      </w:pPr>
      <w:proofErr w:type="spellStart"/>
      <w:r>
        <w:t>Hunsaker</w:t>
      </w:r>
      <w:proofErr w:type="spellEnd"/>
      <w:r>
        <w:t xml:space="preserve">, C.T., R.L. Graham, G.W. </w:t>
      </w:r>
      <w:proofErr w:type="spellStart"/>
      <w:r>
        <w:t>Suter</w:t>
      </w:r>
      <w:proofErr w:type="spellEnd"/>
      <w:r>
        <w:t xml:space="preserve">, R.V. O'Neill, L.W. </w:t>
      </w:r>
      <w:proofErr w:type="spellStart"/>
      <w:r>
        <w:t>Barnthouse</w:t>
      </w:r>
      <w:proofErr w:type="spellEnd"/>
      <w:r>
        <w:t>, and R.</w:t>
      </w:r>
      <w:r w:rsidRPr="00D95C1E">
        <w:t>H. Gardner</w:t>
      </w:r>
      <w:r>
        <w:t xml:space="preserve">, 1990. </w:t>
      </w:r>
      <w:r w:rsidRPr="00D95C1E">
        <w:t>Assessing ecological risk on a regio</w:t>
      </w:r>
      <w:r>
        <w:t>nal scale. Environmental Management, 14(3):</w:t>
      </w:r>
      <w:r w:rsidRPr="00D95C1E">
        <w:t>325-332.</w:t>
      </w:r>
    </w:p>
    <w:p w14:paraId="1FBA6E05" w14:textId="77777777" w:rsidR="00D95C1E" w:rsidRDefault="00D95C1E" w:rsidP="004B27AD">
      <w:pPr>
        <w:pStyle w:val="Reference0"/>
      </w:pPr>
    </w:p>
    <w:p w14:paraId="0EAD5299" w14:textId="12504891" w:rsidR="004C6D94" w:rsidRDefault="004C6D94" w:rsidP="004B27AD">
      <w:pPr>
        <w:pStyle w:val="Reference0"/>
      </w:pPr>
      <w:proofErr w:type="spellStart"/>
      <w:r>
        <w:t>Jaynes</w:t>
      </w:r>
      <w:proofErr w:type="spellEnd"/>
      <w:r>
        <w:t>, E. T., 2003</w:t>
      </w:r>
      <w:r w:rsidRPr="004C6D94">
        <w:t>. Probability theory: the logic of</w:t>
      </w:r>
      <w:r>
        <w:t xml:space="preserve"> science. </w:t>
      </w:r>
      <w:proofErr w:type="gramStart"/>
      <w:r>
        <w:t>Cambridge University P</w:t>
      </w:r>
      <w:r w:rsidRPr="004C6D94">
        <w:t>ress.</w:t>
      </w:r>
      <w:proofErr w:type="gramEnd"/>
    </w:p>
    <w:p w14:paraId="0EE85ED3" w14:textId="77777777" w:rsidR="004C6D94" w:rsidRDefault="004C6D94" w:rsidP="004B27AD">
      <w:pPr>
        <w:pStyle w:val="Reference0"/>
      </w:pPr>
    </w:p>
    <w:p w14:paraId="78076744" w14:textId="6A49618D" w:rsidR="00692C99" w:rsidRDefault="00766340" w:rsidP="004B27AD">
      <w:pPr>
        <w:pStyle w:val="Reference0"/>
      </w:pPr>
      <w:r>
        <w:t>Jensen, F. V., 1996</w:t>
      </w:r>
      <w:r w:rsidR="00692C99">
        <w:t xml:space="preserve">. </w:t>
      </w:r>
      <w:proofErr w:type="gramStart"/>
      <w:r w:rsidR="00692C99" w:rsidRPr="00766340">
        <w:rPr>
          <w:iCs/>
        </w:rPr>
        <w:t>An introduction to Bayesian networks</w:t>
      </w:r>
      <w:r>
        <w:t>.</w:t>
      </w:r>
      <w:proofErr w:type="gramEnd"/>
      <w:r>
        <w:t xml:space="preserve"> UCL Press, London.</w:t>
      </w:r>
    </w:p>
    <w:p w14:paraId="27AE41E1" w14:textId="3A8DC138" w:rsidR="0041506A" w:rsidRDefault="0041506A" w:rsidP="004B27AD">
      <w:pPr>
        <w:pStyle w:val="Reference0"/>
      </w:pPr>
      <w:r>
        <w:t xml:space="preserve">Jensen, F. V. and T.D. Nielsen, 2007. </w:t>
      </w:r>
      <w:proofErr w:type="gramStart"/>
      <w:r w:rsidRPr="0041506A">
        <w:rPr>
          <w:iCs/>
        </w:rPr>
        <w:t>Bayesian networks and decision graphs</w:t>
      </w:r>
      <w:r w:rsidRPr="0041506A">
        <w:t>.</w:t>
      </w:r>
      <w:proofErr w:type="gramEnd"/>
      <w:r>
        <w:t xml:space="preserve"> Springer.  463 pp.</w:t>
      </w:r>
    </w:p>
    <w:p w14:paraId="7B416CC3" w14:textId="77777777" w:rsidR="0041506A" w:rsidRDefault="0041506A" w:rsidP="004B27AD">
      <w:pPr>
        <w:pStyle w:val="Reference0"/>
      </w:pPr>
    </w:p>
    <w:p w14:paraId="2C0CE6AF" w14:textId="6A2C12E7" w:rsidR="00B86F1C" w:rsidRDefault="00B86F1C" w:rsidP="004B27AD">
      <w:pPr>
        <w:pStyle w:val="Reference0"/>
      </w:pPr>
      <w:proofErr w:type="spellStart"/>
      <w:r>
        <w:t>Kappel</w:t>
      </w:r>
      <w:proofErr w:type="spellEnd"/>
      <w:r>
        <w:t xml:space="preserve">, C.V., B.S. Halpern, K.A. </w:t>
      </w:r>
      <w:proofErr w:type="spellStart"/>
      <w:r>
        <w:t>Selkoe</w:t>
      </w:r>
      <w:proofErr w:type="spellEnd"/>
      <w:r>
        <w:t xml:space="preserve">, R.M. Cooke, 2012. </w:t>
      </w:r>
      <w:r w:rsidRPr="00B86F1C">
        <w:t>Eliciting Expert Knowledge of Ecosystem Vulnerability to Human Stressors to Support Comprehensive Ocean Management</w:t>
      </w:r>
      <w:r>
        <w:t xml:space="preserve">. </w:t>
      </w:r>
      <w:r w:rsidR="00F70444">
        <w:t xml:space="preserve">In: A.H. </w:t>
      </w:r>
      <w:proofErr w:type="spellStart"/>
      <w:r w:rsidR="00F70444">
        <w:t>Perera</w:t>
      </w:r>
      <w:proofErr w:type="spellEnd"/>
      <w:r w:rsidR="00F70444">
        <w:t xml:space="preserve">, C.A. Drew, and C.J. Johnson, Editor(s), Expert Knowledge and Its Application in Landscape Ecology.  </w:t>
      </w:r>
      <w:r>
        <w:t>253-277</w:t>
      </w:r>
    </w:p>
    <w:p w14:paraId="462ED619" w14:textId="77777777" w:rsidR="004B27AD" w:rsidRDefault="004B27AD" w:rsidP="004B27AD">
      <w:pPr>
        <w:pStyle w:val="Reference0"/>
      </w:pPr>
    </w:p>
    <w:p w14:paraId="012A9546" w14:textId="77777777" w:rsidR="00BA7CBA" w:rsidRDefault="00BA7CBA" w:rsidP="00BA7CBA">
      <w:pPr>
        <w:pStyle w:val="Reference0"/>
        <w:rPr>
          <w:rFonts w:eastAsiaTheme="minorHAnsi"/>
        </w:rPr>
      </w:pPr>
      <w:proofErr w:type="gramStart"/>
      <w:r>
        <w:rPr>
          <w:rFonts w:eastAsiaTheme="minorHAnsi"/>
        </w:rPr>
        <w:t>Lackey, R. T., 2009.</w:t>
      </w:r>
      <w:proofErr w:type="gramEnd"/>
      <w:r>
        <w:rPr>
          <w:rFonts w:eastAsiaTheme="minorHAnsi"/>
        </w:rPr>
        <w:t xml:space="preserve">  Challenges to sustaining </w:t>
      </w:r>
      <w:proofErr w:type="spellStart"/>
      <w:r>
        <w:rPr>
          <w:rFonts w:eastAsiaTheme="minorHAnsi"/>
        </w:rPr>
        <w:t>diadromous</w:t>
      </w:r>
      <w:proofErr w:type="spellEnd"/>
      <w:r>
        <w:rPr>
          <w:rFonts w:eastAsiaTheme="minorHAnsi"/>
        </w:rPr>
        <w:t xml:space="preserve"> fishes through 2100: Lessons learned from </w:t>
      </w:r>
    </w:p>
    <w:p w14:paraId="59AD55A7" w14:textId="77777777" w:rsidR="00BA7CBA" w:rsidRDefault="00BA7CBA" w:rsidP="00BA7CBA">
      <w:pPr>
        <w:pStyle w:val="Reference0"/>
        <w:rPr>
          <w:rFonts w:eastAsiaTheme="minorHAnsi"/>
        </w:rPr>
      </w:pPr>
      <w:proofErr w:type="gramStart"/>
      <w:r>
        <w:rPr>
          <w:rFonts w:eastAsiaTheme="minorHAnsi"/>
        </w:rPr>
        <w:t>western</w:t>
      </w:r>
      <w:proofErr w:type="gramEnd"/>
      <w:r>
        <w:rPr>
          <w:rFonts w:eastAsiaTheme="minorHAnsi"/>
        </w:rPr>
        <w:t xml:space="preserve"> North America. American Fisheries Society Symposium, 69:609–617. </w:t>
      </w:r>
    </w:p>
    <w:p w14:paraId="7ED309C4" w14:textId="77777777" w:rsidR="00BA7CBA" w:rsidRDefault="00BA7CBA" w:rsidP="00BA7CBA">
      <w:pPr>
        <w:pStyle w:val="Reference0"/>
      </w:pPr>
    </w:p>
    <w:p w14:paraId="3877CF9F" w14:textId="3BDEBAB2" w:rsidR="00555929" w:rsidRDefault="00671D09" w:rsidP="00671D09">
      <w:pPr>
        <w:pStyle w:val="Reference0"/>
      </w:pPr>
      <w:r>
        <w:t xml:space="preserve">Landis, </w:t>
      </w:r>
      <w:r w:rsidR="00555929">
        <w:t>W</w:t>
      </w:r>
      <w:r>
        <w:t>.</w:t>
      </w:r>
      <w:r w:rsidR="00555929">
        <w:t>G</w:t>
      </w:r>
      <w:r>
        <w:t>.</w:t>
      </w:r>
      <w:r w:rsidR="00555929">
        <w:t xml:space="preserve"> and </w:t>
      </w:r>
      <w:r>
        <w:t>P.T. Bryant,</w:t>
      </w:r>
      <w:r w:rsidR="00555929">
        <w:t xml:space="preserve"> 2010. Using weight of evidence characterization and modeling to investigate the cause of the changes in Pacific Herring (</w:t>
      </w:r>
      <w:proofErr w:type="spellStart"/>
      <w:r w:rsidR="00555929">
        <w:t>Clupea</w:t>
      </w:r>
      <w:proofErr w:type="spellEnd"/>
      <w:r w:rsidR="00555929">
        <w:t xml:space="preserve"> </w:t>
      </w:r>
      <w:proofErr w:type="spellStart"/>
      <w:r w:rsidR="00555929">
        <w:t>pallasi</w:t>
      </w:r>
      <w:proofErr w:type="spellEnd"/>
      <w:r w:rsidR="00555929">
        <w:t>) Population Dynamics in Puget Sound and at Cherry Point, Washington. Risk Analysis. 30:183-202</w:t>
      </w:r>
      <w:r>
        <w:t>.</w:t>
      </w:r>
    </w:p>
    <w:p w14:paraId="7B71127A" w14:textId="77777777" w:rsidR="00671D09" w:rsidRDefault="00671D09" w:rsidP="00671D09">
      <w:pPr>
        <w:pStyle w:val="Reference0"/>
      </w:pPr>
    </w:p>
    <w:p w14:paraId="6764CA92" w14:textId="32C98BD6" w:rsidR="00555929" w:rsidRDefault="00555929" w:rsidP="00671D09">
      <w:pPr>
        <w:pStyle w:val="Reference0"/>
      </w:pPr>
      <w:r>
        <w:t>Landis W</w:t>
      </w:r>
      <w:r w:rsidR="00671D09">
        <w:t>.</w:t>
      </w:r>
      <w:r>
        <w:t xml:space="preserve">G., </w:t>
      </w:r>
      <w:r w:rsidR="00671D09">
        <w:t>E. Hart Hayes,</w:t>
      </w:r>
      <w:r>
        <w:t xml:space="preserve"> </w:t>
      </w:r>
      <w:r w:rsidR="00671D09">
        <w:t xml:space="preserve">A.J. </w:t>
      </w:r>
      <w:proofErr w:type="spellStart"/>
      <w:r>
        <w:t>M</w:t>
      </w:r>
      <w:r w:rsidR="00671D09">
        <w:t>arkiewicz</w:t>
      </w:r>
      <w:proofErr w:type="spellEnd"/>
      <w:r w:rsidR="00671D09">
        <w:t xml:space="preserve">, </w:t>
      </w:r>
      <w:r>
        <w:t xml:space="preserve">2005. Retrospective Regional Risk Assessment Predictions and the Application of a Monte Carlo Analysis for the Decline of the Cherry Point Herring Stock.  </w:t>
      </w:r>
      <w:proofErr w:type="gramStart"/>
      <w:r>
        <w:t>In W. G. Landis editor Regional Scale Ecological Risk Assessment Using the Relative R</w:t>
      </w:r>
      <w:r w:rsidR="00671D09">
        <w:t>isk Model.</w:t>
      </w:r>
      <w:proofErr w:type="gramEnd"/>
      <w:r w:rsidR="00671D09">
        <w:t xml:space="preserve"> CRC Press</w:t>
      </w:r>
      <w:r w:rsidR="00A53837">
        <w:t>,</w:t>
      </w:r>
      <w:r w:rsidR="00671D09">
        <w:t xml:space="preserve"> Boca Raton.</w:t>
      </w:r>
    </w:p>
    <w:p w14:paraId="2BD70D94" w14:textId="77777777" w:rsidR="00671D09" w:rsidRDefault="00671D09" w:rsidP="00671D09">
      <w:pPr>
        <w:pStyle w:val="Reference0"/>
      </w:pPr>
    </w:p>
    <w:p w14:paraId="6DE2FBEE" w14:textId="52D80CB7" w:rsidR="00555929" w:rsidRDefault="00555929" w:rsidP="00671D09">
      <w:pPr>
        <w:pStyle w:val="Reference0"/>
      </w:pPr>
      <w:r>
        <w:t xml:space="preserve">Landis, W. G. and J. A. </w:t>
      </w:r>
      <w:proofErr w:type="spellStart"/>
      <w:r>
        <w:t>Wiegers</w:t>
      </w:r>
      <w:proofErr w:type="spellEnd"/>
      <w:r>
        <w:t xml:space="preserve">. 1997. Design considerations and a suggested approach for regional and comparative ecological risk assessment. </w:t>
      </w:r>
      <w:proofErr w:type="gramStart"/>
      <w:r>
        <w:t>Human and Ecological Risk Assessment.</w:t>
      </w:r>
      <w:proofErr w:type="gramEnd"/>
      <w:r>
        <w:t xml:space="preserve"> 3:287-297.</w:t>
      </w:r>
    </w:p>
    <w:p w14:paraId="37E7D2FF" w14:textId="4CAD3500" w:rsidR="00555929" w:rsidRDefault="00555929" w:rsidP="00555929">
      <w:r>
        <w:t xml:space="preserve">Landis WG and </w:t>
      </w:r>
      <w:proofErr w:type="spellStart"/>
      <w:r>
        <w:t>Wiegers</w:t>
      </w:r>
      <w:proofErr w:type="spellEnd"/>
      <w:r>
        <w:t xml:space="preserve"> JK.2007. Ten years of the relative risk model and regional scale ecological risk assessment. Human</w:t>
      </w:r>
      <w:r w:rsidR="00671D09">
        <w:t xml:space="preserve"> and Ecological Risk Assessment, 13: </w:t>
      </w:r>
      <w:r>
        <w:t>25-38</w:t>
      </w:r>
      <w:r w:rsidR="00671D09">
        <w:t>.</w:t>
      </w:r>
    </w:p>
    <w:p w14:paraId="1510EC4A" w14:textId="395DD782" w:rsidR="00555929" w:rsidRDefault="00555929" w:rsidP="00671D09">
      <w:pPr>
        <w:pStyle w:val="Reference0"/>
      </w:pPr>
      <w:proofErr w:type="gramStart"/>
      <w:r>
        <w:t xml:space="preserve">Landis, WG, Duncan PB, Hart Hayes E, </w:t>
      </w:r>
      <w:proofErr w:type="spellStart"/>
      <w:r>
        <w:t>Markiewicz</w:t>
      </w:r>
      <w:proofErr w:type="spellEnd"/>
      <w:r>
        <w:t xml:space="preserve"> AJ, Thomas JF.</w:t>
      </w:r>
      <w:proofErr w:type="gramEnd"/>
      <w:r>
        <w:t xml:space="preserve"> 2004. A regional assessment of the potential stressors causing the decline of the Cherry Point Pacific herring run and alternative management endpoints for the Cherry Point Reserve (Washington, USA). Human and Ecological Risk Assessment 10: 271-297</w:t>
      </w:r>
      <w:r w:rsidR="00671D09">
        <w:t>.</w:t>
      </w:r>
    </w:p>
    <w:p w14:paraId="14AFDA7E" w14:textId="77777777" w:rsidR="00671D09" w:rsidRDefault="00671D09" w:rsidP="00671D09">
      <w:pPr>
        <w:pStyle w:val="Reference0"/>
      </w:pPr>
    </w:p>
    <w:p w14:paraId="72098787" w14:textId="77777777" w:rsidR="009C324E" w:rsidRDefault="009C324E" w:rsidP="009C324E">
      <w:pPr>
        <w:widowControl/>
        <w:spacing w:before="0" w:after="0" w:line="240" w:lineRule="auto"/>
        <w:rPr>
          <w:rFonts w:ascii="Calibri" w:eastAsiaTheme="minorHAnsi" w:hAnsi="Calibri" w:cs="Calibri"/>
          <w:color w:val="auto"/>
        </w:rPr>
      </w:pPr>
      <w:r>
        <w:rPr>
          <w:rFonts w:ascii="Calibri" w:eastAsiaTheme="minorHAnsi" w:hAnsi="Calibri" w:cs="Calibri"/>
          <w:color w:val="auto"/>
        </w:rPr>
        <w:t xml:space="preserve">Levin, P.S., A. James, J. </w:t>
      </w:r>
      <w:proofErr w:type="spellStart"/>
      <w:r>
        <w:rPr>
          <w:rFonts w:ascii="Calibri" w:eastAsiaTheme="minorHAnsi" w:hAnsi="Calibri" w:cs="Calibri"/>
          <w:color w:val="auto"/>
        </w:rPr>
        <w:t>Kershner</w:t>
      </w:r>
      <w:proofErr w:type="spellEnd"/>
      <w:r>
        <w:rPr>
          <w:rFonts w:ascii="Calibri" w:eastAsiaTheme="minorHAnsi" w:hAnsi="Calibri" w:cs="Calibri"/>
          <w:color w:val="auto"/>
        </w:rPr>
        <w:t xml:space="preserve">, S. O’Neill, T. Francis, J. </w:t>
      </w:r>
      <w:proofErr w:type="spellStart"/>
      <w:r>
        <w:rPr>
          <w:rFonts w:ascii="Calibri" w:eastAsiaTheme="minorHAnsi" w:hAnsi="Calibri" w:cs="Calibri"/>
          <w:color w:val="auto"/>
        </w:rPr>
        <w:t>Samhouri</w:t>
      </w:r>
      <w:proofErr w:type="spellEnd"/>
      <w:r>
        <w:rPr>
          <w:rFonts w:ascii="Calibri" w:eastAsiaTheme="minorHAnsi" w:hAnsi="Calibri" w:cs="Calibri"/>
          <w:color w:val="auto"/>
        </w:rPr>
        <w:t xml:space="preserve">, C. Harvey, M.T. Brett, and D. </w:t>
      </w:r>
    </w:p>
    <w:p w14:paraId="2B848516" w14:textId="78FA7306" w:rsidR="009C324E" w:rsidRDefault="009C324E" w:rsidP="009C324E">
      <w:pPr>
        <w:widowControl/>
        <w:spacing w:before="0" w:after="0" w:line="240" w:lineRule="auto"/>
      </w:pPr>
      <w:proofErr w:type="gramStart"/>
      <w:r>
        <w:rPr>
          <w:rFonts w:ascii="Calibri" w:eastAsiaTheme="minorHAnsi" w:hAnsi="Calibri" w:cs="Calibri"/>
          <w:color w:val="auto"/>
        </w:rPr>
        <w:t>Schindler, 2010.</w:t>
      </w:r>
      <w:proofErr w:type="gramEnd"/>
      <w:r>
        <w:rPr>
          <w:rFonts w:ascii="Calibri" w:eastAsiaTheme="minorHAnsi" w:hAnsi="Calibri" w:cs="Calibri"/>
          <w:color w:val="auto"/>
        </w:rPr>
        <w:t xml:space="preserve"> Understanding future and desired system states. </w:t>
      </w:r>
      <w:proofErr w:type="gramStart"/>
      <w:r>
        <w:rPr>
          <w:rFonts w:ascii="Calibri" w:eastAsiaTheme="minorHAnsi" w:hAnsi="Calibri" w:cs="Calibri"/>
          <w:color w:val="auto"/>
        </w:rPr>
        <w:t>Chapter 1 in Puget Sound Science Update.</w:t>
      </w:r>
      <w:proofErr w:type="gramEnd"/>
      <w:r>
        <w:rPr>
          <w:rFonts w:ascii="Calibri" w:eastAsiaTheme="minorHAnsi" w:hAnsi="Calibri" w:cs="Calibri"/>
          <w:color w:val="auto"/>
        </w:rPr>
        <w:t xml:space="preserve"> </w:t>
      </w:r>
      <w:proofErr w:type="gramStart"/>
      <w:r>
        <w:rPr>
          <w:rFonts w:ascii="Calibri" w:eastAsiaTheme="minorHAnsi" w:hAnsi="Calibri" w:cs="Calibri"/>
          <w:color w:val="auto"/>
        </w:rPr>
        <w:t>Puget Sound Partnership, Tacoma, WA.</w:t>
      </w:r>
      <w:proofErr w:type="gramEnd"/>
      <w:r>
        <w:rPr>
          <w:rFonts w:ascii="Calibri" w:eastAsiaTheme="minorHAnsi" w:hAnsi="Calibri" w:cs="Calibri"/>
          <w:color w:val="auto"/>
        </w:rPr>
        <w:t xml:space="preserve"> </w:t>
      </w:r>
    </w:p>
    <w:p w14:paraId="28E5754F" w14:textId="77777777" w:rsidR="009C324E" w:rsidRDefault="009C324E" w:rsidP="00671D09">
      <w:pPr>
        <w:pStyle w:val="Reference0"/>
      </w:pPr>
    </w:p>
    <w:p w14:paraId="000CC623" w14:textId="6836603C" w:rsidR="00853E80" w:rsidRDefault="00853E80" w:rsidP="00671D09">
      <w:pPr>
        <w:pStyle w:val="Reference0"/>
      </w:pPr>
      <w:r>
        <w:t xml:space="preserve">Maier, H.R., J.C. </w:t>
      </w:r>
      <w:proofErr w:type="spellStart"/>
      <w:r>
        <w:t>Ascough</w:t>
      </w:r>
      <w:proofErr w:type="spellEnd"/>
      <w:r>
        <w:t xml:space="preserve"> II, M. </w:t>
      </w:r>
      <w:proofErr w:type="spellStart"/>
      <w:r>
        <w:t>Wattenbach</w:t>
      </w:r>
      <w:proofErr w:type="spellEnd"/>
      <w:r>
        <w:t xml:space="preserve">, C.S. </w:t>
      </w:r>
      <w:proofErr w:type="spellStart"/>
      <w:r>
        <w:t>Renschler</w:t>
      </w:r>
      <w:proofErr w:type="spellEnd"/>
      <w:r>
        <w:t xml:space="preserve">, W.B. </w:t>
      </w:r>
      <w:r w:rsidR="00F70444">
        <w:t xml:space="preserve">Labiosa, and J.K. </w:t>
      </w:r>
      <w:proofErr w:type="spellStart"/>
      <w:r w:rsidR="00F70444">
        <w:t>Ravalico</w:t>
      </w:r>
      <w:proofErr w:type="spellEnd"/>
      <w:r w:rsidR="00F70444">
        <w:t>, 2008</w:t>
      </w:r>
      <w:r>
        <w:t xml:space="preserve">. </w:t>
      </w:r>
      <w:r w:rsidRPr="00853E80">
        <w:t>Uncertainty in environmental decision-making: issues, challenges and future directions</w:t>
      </w:r>
      <w:r>
        <w:t xml:space="preserve">. In: A.J. </w:t>
      </w:r>
      <w:proofErr w:type="spellStart"/>
      <w:r>
        <w:t>Jakeman</w:t>
      </w:r>
      <w:proofErr w:type="spellEnd"/>
      <w:r>
        <w:t xml:space="preserve">, A.A. </w:t>
      </w:r>
      <w:proofErr w:type="spellStart"/>
      <w:r>
        <w:t>Voinov</w:t>
      </w:r>
      <w:proofErr w:type="spellEnd"/>
      <w:r>
        <w:t xml:space="preserve">, A.E. Rizzoli and S.H. Chen, </w:t>
      </w:r>
      <w:r w:rsidR="00722022">
        <w:t>eds.</w:t>
      </w:r>
      <w:r>
        <w:t xml:space="preserve">, Developments in Integrated Environmental Assessment, </w:t>
      </w:r>
      <w:r>
        <w:lastRenderedPageBreak/>
        <w:t>E</w:t>
      </w:r>
      <w:r w:rsidR="00A7767F">
        <w:t>lsevier, Volume 3, Pages 69-85. &lt;</w:t>
      </w:r>
      <w:r w:rsidR="00671D09" w:rsidRPr="00671D09">
        <w:t>http://dx.doi.org/10.1016/S1574-</w:t>
      </w:r>
      <w:proofErr w:type="gramStart"/>
      <w:r w:rsidR="00671D09" w:rsidRPr="00671D09">
        <w:t>101X(</w:t>
      </w:r>
      <w:proofErr w:type="gramEnd"/>
      <w:r w:rsidR="00671D09" w:rsidRPr="00671D09">
        <w:t>08)00605-4</w:t>
      </w:r>
      <w:r w:rsidR="00A7767F">
        <w:t>&gt;</w:t>
      </w:r>
    </w:p>
    <w:p w14:paraId="427C7203" w14:textId="77777777" w:rsidR="00671D09" w:rsidRDefault="00671D09" w:rsidP="00671D09">
      <w:pPr>
        <w:pStyle w:val="Reference0"/>
      </w:pPr>
    </w:p>
    <w:p w14:paraId="6234D600" w14:textId="77777777" w:rsidR="004E0E85" w:rsidRDefault="004E0E85" w:rsidP="004E0E85">
      <w:pPr>
        <w:pStyle w:val="Reference0"/>
        <w:rPr>
          <w:rFonts w:eastAsiaTheme="minorHAnsi"/>
        </w:rPr>
      </w:pPr>
      <w:proofErr w:type="gramStart"/>
      <w:r>
        <w:rPr>
          <w:rFonts w:eastAsiaTheme="minorHAnsi"/>
        </w:rPr>
        <w:t>MEA (Millennium Ecosystem Assessment), 2003.</w:t>
      </w:r>
      <w:proofErr w:type="gramEnd"/>
      <w:r>
        <w:rPr>
          <w:rFonts w:eastAsiaTheme="minorHAnsi"/>
        </w:rPr>
        <w:t xml:space="preserve"> Ecosystems and human well-being: A framework for </w:t>
      </w:r>
    </w:p>
    <w:p w14:paraId="2002AB8C" w14:textId="77777777" w:rsidR="004E0E85" w:rsidRDefault="004E0E85" w:rsidP="004E0E85">
      <w:pPr>
        <w:pStyle w:val="Reference0"/>
      </w:pPr>
      <w:r>
        <w:rPr>
          <w:rFonts w:eastAsiaTheme="minorHAnsi"/>
        </w:rPr>
        <w:t xml:space="preserve">Assessment.  Island Press, Washington, DC. </w:t>
      </w:r>
    </w:p>
    <w:p w14:paraId="697157B1" w14:textId="77777777" w:rsidR="004E0E85" w:rsidRDefault="004E0E85" w:rsidP="004E0E85">
      <w:pPr>
        <w:pStyle w:val="Reference0"/>
      </w:pPr>
    </w:p>
    <w:p w14:paraId="642B6FD5" w14:textId="11DD8A3E" w:rsidR="007C3245" w:rsidRDefault="007C3245" w:rsidP="004E0E85">
      <w:pPr>
        <w:pStyle w:val="Reference0"/>
      </w:pPr>
      <w:proofErr w:type="gramStart"/>
      <w:r>
        <w:t>MEA (Millennium Ecosystem Assessment), 2005.</w:t>
      </w:r>
      <w:proofErr w:type="gramEnd"/>
      <w:r>
        <w:t xml:space="preserve">  Ecosystems and human well-being: Synthesis</w:t>
      </w:r>
    </w:p>
    <w:p w14:paraId="4C99EDA8" w14:textId="18FDC6D8" w:rsidR="007C3245" w:rsidRDefault="007C3245" w:rsidP="004E0E85">
      <w:pPr>
        <w:pStyle w:val="Reference0"/>
      </w:pPr>
      <w:proofErr w:type="gramStart"/>
      <w:r>
        <w:t>report</w:t>
      </w:r>
      <w:proofErr w:type="gramEnd"/>
      <w:r>
        <w:t>. World Resources Institute, Washington, DC.</w:t>
      </w:r>
      <w:r w:rsidR="003755DE">
        <w:t xml:space="preserve"> 137 pp.</w:t>
      </w:r>
    </w:p>
    <w:p w14:paraId="3366702C" w14:textId="77777777" w:rsidR="007C3245" w:rsidRDefault="007C3245" w:rsidP="004E0E85">
      <w:pPr>
        <w:pStyle w:val="Reference0"/>
      </w:pPr>
    </w:p>
    <w:p w14:paraId="61C4E1B4" w14:textId="767C35AB" w:rsidR="00EE1460" w:rsidRDefault="00EE1460" w:rsidP="00564E55">
      <w:pPr>
        <w:pStyle w:val="Reference0"/>
      </w:pPr>
      <w:proofErr w:type="spellStart"/>
      <w:proofErr w:type="gramStart"/>
      <w:r>
        <w:t>Menzie</w:t>
      </w:r>
      <w:proofErr w:type="spellEnd"/>
      <w:r>
        <w:t xml:space="preserve">, C.A., M.M. </w:t>
      </w:r>
      <w:proofErr w:type="spellStart"/>
      <w:r>
        <w:t>MacDonell</w:t>
      </w:r>
      <w:proofErr w:type="spellEnd"/>
      <w:r>
        <w:t xml:space="preserve">, and M. </w:t>
      </w:r>
      <w:proofErr w:type="spellStart"/>
      <w:r>
        <w:t>Mumtaz</w:t>
      </w:r>
      <w:proofErr w:type="spellEnd"/>
      <w:r>
        <w:t>, 2007.</w:t>
      </w:r>
      <w:proofErr w:type="gramEnd"/>
      <w:r>
        <w:t xml:space="preserve"> A phased approach for assessing combined effects from multiple stressors. </w:t>
      </w:r>
      <w:proofErr w:type="gramStart"/>
      <w:r>
        <w:rPr>
          <w:iCs/>
        </w:rPr>
        <w:t>Environmental Health P</w:t>
      </w:r>
      <w:r w:rsidRPr="00EE1460">
        <w:rPr>
          <w:iCs/>
        </w:rPr>
        <w:t>erspectives</w:t>
      </w:r>
      <w:r>
        <w:t>.</w:t>
      </w:r>
      <w:proofErr w:type="gramEnd"/>
      <w:r>
        <w:t xml:space="preserve"> </w:t>
      </w:r>
      <w:r w:rsidRPr="00EE1460">
        <w:rPr>
          <w:iCs/>
        </w:rPr>
        <w:t>115</w:t>
      </w:r>
      <w:r w:rsidRPr="00EE1460">
        <w:t>(5):807</w:t>
      </w:r>
      <w:r>
        <w:t>-816.</w:t>
      </w:r>
    </w:p>
    <w:p w14:paraId="2C46D79E" w14:textId="77777777" w:rsidR="00EE1460" w:rsidRDefault="00EE1460" w:rsidP="00564E55">
      <w:pPr>
        <w:pStyle w:val="Reference0"/>
      </w:pPr>
    </w:p>
    <w:p w14:paraId="10A48356" w14:textId="60973A5C" w:rsidR="00564E55" w:rsidRDefault="00564E55" w:rsidP="00564E55">
      <w:pPr>
        <w:pStyle w:val="Reference0"/>
      </w:pPr>
      <w:r>
        <w:t>Moore, D.R.J., 2001. The Anna Karenina Principle Applied to Ecological Risk Assessments of Multiple</w:t>
      </w:r>
    </w:p>
    <w:p w14:paraId="067970E7" w14:textId="51C27C88" w:rsidR="00564E55" w:rsidRDefault="00564E55" w:rsidP="00564E55">
      <w:pPr>
        <w:pStyle w:val="Reference0"/>
      </w:pPr>
      <w:r>
        <w:t xml:space="preserve">Stressors. </w:t>
      </w:r>
      <w:proofErr w:type="gramStart"/>
      <w:r>
        <w:t>Human and Ecological Risk Asses</w:t>
      </w:r>
      <w:r w:rsidR="006541A7">
        <w:t>sment.</w:t>
      </w:r>
      <w:proofErr w:type="gramEnd"/>
      <w:r w:rsidR="006541A7">
        <w:t xml:space="preserve"> 7(2):231-237.</w:t>
      </w:r>
    </w:p>
    <w:p w14:paraId="25964367" w14:textId="77777777" w:rsidR="00564E55" w:rsidRDefault="00564E55" w:rsidP="00671D09">
      <w:pPr>
        <w:pStyle w:val="Reference0"/>
      </w:pPr>
    </w:p>
    <w:p w14:paraId="6D675E5C" w14:textId="5E7F180E" w:rsidR="006E0BA8" w:rsidRDefault="006E0BA8" w:rsidP="00671D09">
      <w:pPr>
        <w:pStyle w:val="Reference0"/>
      </w:pPr>
      <w:r>
        <w:t>Morgan, M.G.</w:t>
      </w:r>
      <w:r w:rsidRPr="006E0BA8">
        <w:t xml:space="preserve">, and M. </w:t>
      </w:r>
      <w:proofErr w:type="spellStart"/>
      <w:r w:rsidRPr="006E0BA8">
        <w:t>Henrion</w:t>
      </w:r>
      <w:proofErr w:type="spellEnd"/>
      <w:r>
        <w:t xml:space="preserve">, 1990. </w:t>
      </w:r>
      <w:r w:rsidRPr="006E0BA8">
        <w:t>Uncertainty: a Guide to dealing with uncertainty in quantitative risk and policy analy</w:t>
      </w:r>
      <w:r>
        <w:t>sis. New York, New York: Cambridge University Press. 332 pp.</w:t>
      </w:r>
    </w:p>
    <w:p w14:paraId="63BAA3AB" w14:textId="77777777" w:rsidR="00671D09" w:rsidRDefault="00671D09" w:rsidP="00671D09">
      <w:pPr>
        <w:pStyle w:val="Reference0"/>
      </w:pPr>
    </w:p>
    <w:p w14:paraId="6232F8B2" w14:textId="33DEA7D5" w:rsidR="00E2799E" w:rsidRDefault="00E2799E" w:rsidP="00671D09">
      <w:pPr>
        <w:pStyle w:val="Reference0"/>
      </w:pPr>
      <w:proofErr w:type="spellStart"/>
      <w:r>
        <w:t>Neslo</w:t>
      </w:r>
      <w:proofErr w:type="spellEnd"/>
      <w:r>
        <w:t xml:space="preserve">, R., F. </w:t>
      </w:r>
      <w:proofErr w:type="spellStart"/>
      <w:r>
        <w:t>Micheli</w:t>
      </w:r>
      <w:proofErr w:type="spellEnd"/>
      <w:r>
        <w:t xml:space="preserve">, C.V. </w:t>
      </w:r>
      <w:proofErr w:type="spellStart"/>
      <w:r>
        <w:t>Kappel</w:t>
      </w:r>
      <w:proofErr w:type="spellEnd"/>
      <w:r>
        <w:t xml:space="preserve">, K.A. </w:t>
      </w:r>
      <w:proofErr w:type="spellStart"/>
      <w:r>
        <w:t>Selkoe</w:t>
      </w:r>
      <w:proofErr w:type="spellEnd"/>
      <w:r>
        <w:t xml:space="preserve">, B.S. Halpern, and R.M. Cooke, 2009. "Modeling Stakeholder Preferences with Probabilistic Inversion." </w:t>
      </w:r>
      <w:proofErr w:type="gramStart"/>
      <w:r>
        <w:t xml:space="preserve">In </w:t>
      </w:r>
      <w:r>
        <w:rPr>
          <w:i/>
          <w:iCs/>
        </w:rPr>
        <w:t>Real-Time and Deliberative Decision Making</w:t>
      </w:r>
      <w:r>
        <w:t>, pp. 265-284.</w:t>
      </w:r>
      <w:proofErr w:type="gramEnd"/>
      <w:r>
        <w:t xml:space="preserve"> Springer Netherlands.</w:t>
      </w:r>
    </w:p>
    <w:p w14:paraId="08ACAECD" w14:textId="77777777" w:rsidR="00671D09" w:rsidRDefault="00671D09" w:rsidP="00671D09">
      <w:pPr>
        <w:pStyle w:val="Reference0"/>
      </w:pPr>
    </w:p>
    <w:p w14:paraId="43B58739" w14:textId="795AE4E1" w:rsidR="00B930BC" w:rsidRDefault="00D5176F" w:rsidP="00671D09">
      <w:pPr>
        <w:pStyle w:val="Reference0"/>
        <w:rPr>
          <w:rFonts w:eastAsiaTheme="minorEastAsia"/>
        </w:rPr>
      </w:pPr>
      <w:proofErr w:type="spellStart"/>
      <w:proofErr w:type="gramStart"/>
      <w:r w:rsidRPr="00387134">
        <w:t>Neuman</w:t>
      </w:r>
      <w:proofErr w:type="spellEnd"/>
      <w:r w:rsidRPr="00387134">
        <w:t>,</w:t>
      </w:r>
      <w:r w:rsidR="00EE6128">
        <w:t xml:space="preserve"> M., D. St. John and J. </w:t>
      </w:r>
      <w:proofErr w:type="spellStart"/>
      <w:r w:rsidR="00EE6128">
        <w:t>Knauer</w:t>
      </w:r>
      <w:proofErr w:type="spellEnd"/>
      <w:r w:rsidR="00EE6128">
        <w:t>, 2009.</w:t>
      </w:r>
      <w:proofErr w:type="gramEnd"/>
      <w:r w:rsidRPr="00387134">
        <w:t xml:space="preserve"> </w:t>
      </w:r>
      <w:r w:rsidR="00B930BC" w:rsidRPr="00387134">
        <w:t>Identification, Definition and Rating of Threats to the Recovery of Puget Sound, A Technical Memorandum to the State of the Sound 2009</w:t>
      </w:r>
      <w:r w:rsidR="00A776B7" w:rsidRPr="00387134">
        <w:t xml:space="preserve">. </w:t>
      </w:r>
      <w:proofErr w:type="gramStart"/>
      <w:r w:rsidR="00876B3E" w:rsidRPr="00387134">
        <w:rPr>
          <w:rFonts w:eastAsiaTheme="minorEastAsia"/>
        </w:rPr>
        <w:t>Puget Sound Partnership.</w:t>
      </w:r>
      <w:proofErr w:type="gramEnd"/>
      <w:r w:rsidR="00876B3E" w:rsidRPr="00387134">
        <w:rPr>
          <w:rFonts w:eastAsiaTheme="minorEastAsia"/>
        </w:rPr>
        <w:t xml:space="preserve"> Tacoma, Washington.</w:t>
      </w:r>
    </w:p>
    <w:p w14:paraId="20C38AB3" w14:textId="77777777" w:rsidR="00671D09" w:rsidRPr="00387134" w:rsidRDefault="00671D09" w:rsidP="00671D09">
      <w:pPr>
        <w:pStyle w:val="Reference0"/>
        <w:rPr>
          <w:rFonts w:eastAsiaTheme="minorEastAsia"/>
        </w:rPr>
      </w:pPr>
    </w:p>
    <w:p w14:paraId="51637DB4" w14:textId="01B64EB6" w:rsidR="000C00EE" w:rsidRDefault="000C00EE" w:rsidP="00671D09">
      <w:pPr>
        <w:pStyle w:val="Reference0"/>
        <w:rPr>
          <w:rFonts w:eastAsiaTheme="minorEastAsia"/>
        </w:rPr>
      </w:pPr>
      <w:proofErr w:type="spellStart"/>
      <w:r>
        <w:rPr>
          <w:rFonts w:eastAsiaTheme="minorEastAsia"/>
        </w:rPr>
        <w:t>Ojaveer</w:t>
      </w:r>
      <w:proofErr w:type="spellEnd"/>
      <w:r>
        <w:rPr>
          <w:rFonts w:eastAsiaTheme="minorEastAsia"/>
        </w:rPr>
        <w:t xml:space="preserve">, H. and M. </w:t>
      </w:r>
      <w:proofErr w:type="spellStart"/>
      <w:r>
        <w:rPr>
          <w:rFonts w:eastAsiaTheme="minorEastAsia"/>
        </w:rPr>
        <w:t>Eero</w:t>
      </w:r>
      <w:proofErr w:type="spellEnd"/>
      <w:r>
        <w:rPr>
          <w:rFonts w:eastAsiaTheme="minorEastAsia"/>
        </w:rPr>
        <w:t xml:space="preserve">, 2011.  </w:t>
      </w:r>
      <w:r w:rsidRPr="000C00EE">
        <w:rPr>
          <w:rFonts w:eastAsiaTheme="minorEastAsia"/>
        </w:rPr>
        <w:t>Methodological Challenges in Assessing the Environmental Status of a Marine Ecosystem: Case St</w:t>
      </w:r>
      <w:r w:rsidR="009504B3">
        <w:rPr>
          <w:rFonts w:eastAsiaTheme="minorEastAsia"/>
        </w:rPr>
        <w:t xml:space="preserve">udy of the Baltic Sea. </w:t>
      </w:r>
      <w:proofErr w:type="spellStart"/>
      <w:r w:rsidR="009504B3">
        <w:rPr>
          <w:rFonts w:eastAsiaTheme="minorEastAsia"/>
        </w:rPr>
        <w:t>PLoS</w:t>
      </w:r>
      <w:proofErr w:type="spellEnd"/>
      <w:r w:rsidR="009504B3">
        <w:rPr>
          <w:rFonts w:eastAsiaTheme="minorEastAsia"/>
        </w:rPr>
        <w:t xml:space="preserve"> </w:t>
      </w:r>
      <w:r w:rsidRPr="000C00EE">
        <w:rPr>
          <w:rFonts w:eastAsiaTheme="minorEastAsia"/>
        </w:rPr>
        <w:t>ONE 6(4): e19231. doi:10.1371/journal.pone.0019231</w:t>
      </w:r>
    </w:p>
    <w:p w14:paraId="6ED5142D" w14:textId="77777777" w:rsidR="00671D09" w:rsidRDefault="00671D09" w:rsidP="00671D09">
      <w:pPr>
        <w:pStyle w:val="Reference0"/>
        <w:rPr>
          <w:rFonts w:eastAsiaTheme="minorEastAsia"/>
        </w:rPr>
      </w:pPr>
    </w:p>
    <w:p w14:paraId="27A99F73" w14:textId="3216975D" w:rsidR="004C6D94" w:rsidRDefault="004C6D94" w:rsidP="00671D09">
      <w:pPr>
        <w:pStyle w:val="Reference0"/>
      </w:pPr>
      <w:r>
        <w:t xml:space="preserve">Pearl, J., 1988. </w:t>
      </w:r>
      <w:r w:rsidRPr="004C6D94">
        <w:rPr>
          <w:iCs/>
        </w:rPr>
        <w:t>Probabilistic reasoning in intelligent systems: networks of plausible inference</w:t>
      </w:r>
      <w:r w:rsidRPr="004C6D94">
        <w:t>.</w:t>
      </w:r>
      <w:r>
        <w:t xml:space="preserve"> Morgan Kaufmann. 552 pp.</w:t>
      </w:r>
    </w:p>
    <w:p w14:paraId="5791F819" w14:textId="77777777" w:rsidR="004C6D94" w:rsidRDefault="004C6D94" w:rsidP="00671D09">
      <w:pPr>
        <w:pStyle w:val="Reference0"/>
        <w:rPr>
          <w:rFonts w:eastAsiaTheme="minorEastAsia"/>
        </w:rPr>
      </w:pPr>
    </w:p>
    <w:p w14:paraId="26116DE6" w14:textId="649CC528" w:rsidR="00A776B7" w:rsidRDefault="00A776B7" w:rsidP="00671D09">
      <w:pPr>
        <w:pStyle w:val="Reference0"/>
        <w:rPr>
          <w:rFonts w:eastAsiaTheme="minorEastAsia"/>
        </w:rPr>
      </w:pPr>
      <w:proofErr w:type="gramStart"/>
      <w:r w:rsidRPr="00387134">
        <w:rPr>
          <w:rFonts w:eastAsiaTheme="minorEastAsia"/>
        </w:rPr>
        <w:t xml:space="preserve">Pearson, S., N. Hamel, S. </w:t>
      </w:r>
      <w:r w:rsidR="009C324E">
        <w:rPr>
          <w:rFonts w:eastAsiaTheme="minorEastAsia"/>
        </w:rPr>
        <w:t xml:space="preserve">Walters, and J. </w:t>
      </w:r>
      <w:proofErr w:type="spellStart"/>
      <w:r w:rsidR="009C324E">
        <w:rPr>
          <w:rFonts w:eastAsiaTheme="minorEastAsia"/>
        </w:rPr>
        <w:t>Marzluff</w:t>
      </w:r>
      <w:proofErr w:type="spellEnd"/>
      <w:r w:rsidR="009C324E">
        <w:rPr>
          <w:rFonts w:eastAsiaTheme="minorEastAsia"/>
        </w:rPr>
        <w:t>, 2011</w:t>
      </w:r>
      <w:r w:rsidRPr="00387134">
        <w:rPr>
          <w:rFonts w:eastAsiaTheme="minorEastAsia"/>
        </w:rPr>
        <w:t>.</w:t>
      </w:r>
      <w:proofErr w:type="gramEnd"/>
      <w:r w:rsidRPr="00387134">
        <w:rPr>
          <w:rFonts w:eastAsiaTheme="minorEastAsia"/>
        </w:rPr>
        <w:t xml:space="preserve"> </w:t>
      </w:r>
      <w:proofErr w:type="gramStart"/>
      <w:r w:rsidRPr="00387134">
        <w:rPr>
          <w:rFonts w:eastAsiaTheme="minorEastAsia"/>
        </w:rPr>
        <w:t>Chapter 3 in Puget Sound Science Update, April 2011 v</w:t>
      </w:r>
      <w:r w:rsidR="009C324E">
        <w:rPr>
          <w:rFonts w:eastAsiaTheme="minorEastAsia"/>
        </w:rPr>
        <w:t>ersion.</w:t>
      </w:r>
      <w:proofErr w:type="gramEnd"/>
      <w:r w:rsidR="009C324E">
        <w:rPr>
          <w:rFonts w:eastAsiaTheme="minorEastAsia"/>
        </w:rPr>
        <w:t xml:space="preserve"> </w:t>
      </w:r>
      <w:proofErr w:type="gramStart"/>
      <w:r w:rsidR="009C324E">
        <w:rPr>
          <w:rFonts w:eastAsiaTheme="minorEastAsia"/>
        </w:rPr>
        <w:t>Puget Sound Partnership,</w:t>
      </w:r>
      <w:r w:rsidRPr="00387134">
        <w:rPr>
          <w:rFonts w:eastAsiaTheme="minorEastAsia"/>
        </w:rPr>
        <w:t xml:space="preserve"> Tacoma, Washington.</w:t>
      </w:r>
      <w:proofErr w:type="gramEnd"/>
    </w:p>
    <w:p w14:paraId="531885E2" w14:textId="77777777" w:rsidR="00671D09" w:rsidRPr="00387134" w:rsidRDefault="00671D09" w:rsidP="00671D09">
      <w:pPr>
        <w:pStyle w:val="Reference0"/>
        <w:rPr>
          <w:rFonts w:eastAsiaTheme="minorEastAsia"/>
        </w:rPr>
      </w:pPr>
    </w:p>
    <w:p w14:paraId="3868638D" w14:textId="77777777" w:rsidR="00DD07C3" w:rsidRDefault="00DD07C3" w:rsidP="00671D09">
      <w:pPr>
        <w:pStyle w:val="Reference0"/>
      </w:pPr>
      <w:proofErr w:type="gramStart"/>
      <w:r>
        <w:t>PSAMP (Puget Sound Ambient Monitoring Program), 2005.</w:t>
      </w:r>
      <w:proofErr w:type="gramEnd"/>
      <w:r>
        <w:t xml:space="preserve"> 2005 Review of the</w:t>
      </w:r>
    </w:p>
    <w:p w14:paraId="749FAE47" w14:textId="6C3CD9EB" w:rsidR="00DD07C3" w:rsidRDefault="00DD07C3" w:rsidP="00671D09">
      <w:pPr>
        <w:pStyle w:val="Reference0"/>
      </w:pPr>
      <w:r>
        <w:t xml:space="preserve">Puget Sound Ambient Monitoring Program, Final Report. </w:t>
      </w:r>
    </w:p>
    <w:p w14:paraId="7580EFC3" w14:textId="457E13D0" w:rsidR="00DD07C3" w:rsidRDefault="00DD07C3" w:rsidP="00671D09">
      <w:pPr>
        <w:pStyle w:val="Reference0"/>
      </w:pPr>
      <w:r>
        <w:t>&lt;</w:t>
      </w:r>
      <w:r w:rsidRPr="00DD07C3">
        <w:t xml:space="preserve"> </w:t>
      </w:r>
      <w:r w:rsidR="00671D09" w:rsidRPr="00671D09">
        <w:t>http://www.psparchives.com/publications/our_work/science/psamp/PSAMP_2005_review.pdf</w:t>
      </w:r>
      <w:r>
        <w:t>&gt;</w:t>
      </w:r>
    </w:p>
    <w:p w14:paraId="6F73C064" w14:textId="77777777" w:rsidR="00671D09" w:rsidRDefault="00671D09" w:rsidP="00DD07C3">
      <w:pPr>
        <w:spacing w:before="0" w:after="0" w:line="240" w:lineRule="auto"/>
      </w:pPr>
    </w:p>
    <w:p w14:paraId="0D9B5D47" w14:textId="1DBB1A9F" w:rsidR="00685C95" w:rsidRDefault="00685C95" w:rsidP="00671D09">
      <w:pPr>
        <w:pStyle w:val="Reference0"/>
      </w:pPr>
      <w:proofErr w:type="gramStart"/>
      <w:r>
        <w:t>PSAT (Puget Sound Action Team), 2005.</w:t>
      </w:r>
      <w:proofErr w:type="gramEnd"/>
      <w:r>
        <w:t xml:space="preserve">  </w:t>
      </w:r>
      <w:proofErr w:type="gramStart"/>
      <w:r>
        <w:t>State of the Sound 2004.</w:t>
      </w:r>
      <w:proofErr w:type="gramEnd"/>
      <w:r>
        <w:t xml:space="preserve">  </w:t>
      </w:r>
      <w:proofErr w:type="gramStart"/>
      <w:r>
        <w:t>Office of the Governor, Washington State.</w:t>
      </w:r>
      <w:proofErr w:type="gramEnd"/>
      <w:r>
        <w:t xml:space="preserve"> Publication No. PSAT 05-01. </w:t>
      </w:r>
      <w:r w:rsidRPr="00685C95">
        <w:t xml:space="preserve"> </w:t>
      </w:r>
      <w:r w:rsidR="00671D09" w:rsidRPr="00671D09">
        <w:t>http://www.psparchives.com/publications/puget_sound/sos/04sos/PSATSOS2004.pdf</w:t>
      </w:r>
    </w:p>
    <w:p w14:paraId="43EBD21D" w14:textId="77777777" w:rsidR="00671D09" w:rsidRDefault="00671D09" w:rsidP="00671D09">
      <w:pPr>
        <w:pStyle w:val="Reference0"/>
      </w:pPr>
    </w:p>
    <w:p w14:paraId="158C077A" w14:textId="77777777" w:rsidR="00B646B5" w:rsidRDefault="00B646B5" w:rsidP="00B646B5">
      <w:pPr>
        <w:pStyle w:val="Reference0"/>
      </w:pPr>
      <w:proofErr w:type="gramStart"/>
      <w:r>
        <w:t>PSP (Puget Sound Partnership), 2010.</w:t>
      </w:r>
      <w:proofErr w:type="gramEnd"/>
      <w:r>
        <w:t xml:space="preserve">  </w:t>
      </w:r>
      <w:proofErr w:type="gramStart"/>
      <w:r>
        <w:t>2009 State of the Sound Report.</w:t>
      </w:r>
      <w:proofErr w:type="gramEnd"/>
      <w:r>
        <w:t xml:space="preserve">  &lt;</w:t>
      </w:r>
      <w:r w:rsidRPr="00671D09">
        <w:t>http://www.psp.wa.gov/downloads/SOS09/09-04534-000_State_of_the_Sound-1.pdf</w:t>
      </w:r>
      <w:r>
        <w:t>&gt;</w:t>
      </w:r>
    </w:p>
    <w:p w14:paraId="38078599" w14:textId="77777777" w:rsidR="00B646B5" w:rsidRDefault="00B646B5" w:rsidP="00B646B5">
      <w:pPr>
        <w:pStyle w:val="Reference0"/>
      </w:pPr>
    </w:p>
    <w:p w14:paraId="139D13DA" w14:textId="77777777" w:rsidR="00B646B5" w:rsidRDefault="00B646B5" w:rsidP="00B646B5">
      <w:pPr>
        <w:pStyle w:val="Reference0"/>
      </w:pPr>
      <w:r>
        <w:t xml:space="preserve">PSP </w:t>
      </w:r>
      <w:proofErr w:type="spellStart"/>
      <w:r>
        <w:t>PSP</w:t>
      </w:r>
      <w:proofErr w:type="spellEnd"/>
      <w:r>
        <w:t xml:space="preserve"> (Puget Sound Partnership), 2012.  </w:t>
      </w:r>
      <w:proofErr w:type="gramStart"/>
      <w:r>
        <w:t>2012 State of the Sound Report.</w:t>
      </w:r>
      <w:proofErr w:type="gramEnd"/>
      <w:r>
        <w:t xml:space="preserve"> </w:t>
      </w:r>
      <w:r w:rsidRPr="00FC164B">
        <w:t xml:space="preserve"> </w:t>
      </w:r>
      <w:r>
        <w:t>&lt;</w:t>
      </w:r>
      <w:r w:rsidRPr="00671D09">
        <w:t>http://www.psp.wa.gov/downloads/SOS2012/sos2012_110812pdfs/SOS2012_ALL_110812.pdf</w:t>
      </w:r>
      <w:r>
        <w:t>&gt;</w:t>
      </w:r>
    </w:p>
    <w:p w14:paraId="6DBA0CDA" w14:textId="77777777" w:rsidR="00B646B5" w:rsidRDefault="00B646B5" w:rsidP="00671D09">
      <w:pPr>
        <w:pStyle w:val="Reference0"/>
      </w:pPr>
    </w:p>
    <w:p w14:paraId="63B6F77D" w14:textId="1C5624FE" w:rsidR="00CE34C6" w:rsidRDefault="00CE34C6" w:rsidP="00671D09">
      <w:pPr>
        <w:pStyle w:val="Reference0"/>
        <w:rPr>
          <w:rFonts w:eastAsiaTheme="minorEastAsia"/>
        </w:rPr>
      </w:pPr>
      <w:r>
        <w:t xml:space="preserve">Regan, H.M., M. </w:t>
      </w:r>
      <w:proofErr w:type="spellStart"/>
      <w:r>
        <w:t>Colyvan</w:t>
      </w:r>
      <w:proofErr w:type="spellEnd"/>
      <w:r>
        <w:t xml:space="preserve">, and M.A. </w:t>
      </w:r>
      <w:proofErr w:type="spellStart"/>
      <w:r>
        <w:t>Burgman</w:t>
      </w:r>
      <w:proofErr w:type="spellEnd"/>
      <w:r>
        <w:t xml:space="preserve">, 2002. </w:t>
      </w:r>
      <w:r w:rsidR="009504B3">
        <w:t>A Taxonomy and Treatment of Uncertainty for Ecology and Conservation Biology</w:t>
      </w:r>
      <w:r w:rsidR="009504B3" w:rsidRPr="009504B3">
        <w:t xml:space="preserve">. </w:t>
      </w:r>
      <w:r w:rsidR="009504B3" w:rsidRPr="009504B3">
        <w:rPr>
          <w:rFonts w:eastAsiaTheme="minorEastAsia"/>
        </w:rPr>
        <w:t>Ecological Applications, 12(2), 2002, pp. 618–628</w:t>
      </w:r>
      <w:r w:rsidR="009504B3">
        <w:rPr>
          <w:rFonts w:eastAsiaTheme="minorEastAsia"/>
        </w:rPr>
        <w:t>.</w:t>
      </w:r>
    </w:p>
    <w:p w14:paraId="7F7610E9" w14:textId="77777777" w:rsidR="00671D09" w:rsidRPr="009504B3" w:rsidRDefault="00671D09" w:rsidP="00671D09">
      <w:pPr>
        <w:pStyle w:val="Reference0"/>
      </w:pPr>
    </w:p>
    <w:p w14:paraId="2F1E2406" w14:textId="3F9A4075" w:rsidR="00745A65" w:rsidRDefault="00745A65" w:rsidP="00745A65">
      <w:pPr>
        <w:spacing w:before="0" w:after="0" w:line="240" w:lineRule="auto"/>
      </w:pPr>
      <w:proofErr w:type="gramStart"/>
      <w:r>
        <w:t>Ruckelshaus, M. H. and M. M. McClure, coordinators, 2007.</w:t>
      </w:r>
      <w:proofErr w:type="gramEnd"/>
      <w:r>
        <w:t xml:space="preserve"> Sound Science: Synthesizing ecological and socioeconomic information about the Puget Sound ecosystem. Prepared in cooperation with the</w:t>
      </w:r>
    </w:p>
    <w:p w14:paraId="10C133FC" w14:textId="1BA79F6C" w:rsidR="00745A65" w:rsidRDefault="00745A65" w:rsidP="00745A65">
      <w:pPr>
        <w:spacing w:before="0" w:after="0" w:line="240" w:lineRule="auto"/>
      </w:pPr>
      <w:r>
        <w:t xml:space="preserve">Sound Science collaborative team. U.S. Dept. of Commerce, National Oceanic &amp; Atmospheric Administration, Northwest Fisheries Science Center. Seattle, Washington. 93 pp. </w:t>
      </w:r>
    </w:p>
    <w:p w14:paraId="24040B28" w14:textId="61189E21" w:rsidR="00745A65" w:rsidRDefault="00745A65" w:rsidP="00745A65">
      <w:pPr>
        <w:spacing w:before="0" w:after="0" w:line="240" w:lineRule="auto"/>
      </w:pPr>
      <w:r>
        <w:t>&lt;</w:t>
      </w:r>
      <w:r w:rsidRPr="00745A65">
        <w:t xml:space="preserve"> </w:t>
      </w:r>
      <w:r w:rsidR="00671D09" w:rsidRPr="00671D09">
        <w:t>http://permanent.access.gpo.gov/lps78091/</w:t>
      </w:r>
      <w:r>
        <w:t>&gt;</w:t>
      </w:r>
    </w:p>
    <w:p w14:paraId="0B8139FC" w14:textId="77777777" w:rsidR="00671D09" w:rsidRDefault="00671D09" w:rsidP="00745A65">
      <w:pPr>
        <w:spacing w:before="0" w:after="0" w:line="240" w:lineRule="auto"/>
      </w:pPr>
    </w:p>
    <w:p w14:paraId="05B1E261" w14:textId="576F299A" w:rsidR="00435AC7" w:rsidRPr="00387134" w:rsidRDefault="00876B3E" w:rsidP="00671D09">
      <w:pPr>
        <w:pStyle w:val="Reference0"/>
        <w:rPr>
          <w:rFonts w:eastAsiaTheme="minorEastAsia"/>
        </w:rPr>
      </w:pPr>
      <w:r w:rsidRPr="00387134">
        <w:t>Ruckelshaus,</w:t>
      </w:r>
      <w:r w:rsidR="000F2CE3" w:rsidRPr="00387134">
        <w:t xml:space="preserve"> M,</w:t>
      </w:r>
      <w:r w:rsidRPr="00387134">
        <w:t xml:space="preserve"> Philip Bloch, Craig </w:t>
      </w:r>
      <w:proofErr w:type="spellStart"/>
      <w:r w:rsidRPr="00387134">
        <w:t>Busack</w:t>
      </w:r>
      <w:proofErr w:type="spellEnd"/>
      <w:r w:rsidRPr="00387134">
        <w:t xml:space="preserve">, Jeremy Davies, Joe Joy, Jennifer </w:t>
      </w:r>
      <w:proofErr w:type="spellStart"/>
      <w:r w:rsidRPr="00387134">
        <w:t>Knauer</w:t>
      </w:r>
      <w:proofErr w:type="spellEnd"/>
      <w:r w:rsidRPr="00387134">
        <w:t xml:space="preserve">, Tom Mumford, Wayne </w:t>
      </w:r>
      <w:proofErr w:type="spellStart"/>
      <w:r w:rsidRPr="00387134">
        <w:t>Palsson</w:t>
      </w:r>
      <w:proofErr w:type="spellEnd"/>
      <w:r w:rsidRPr="00387134">
        <w:t>, John Pierce, Erin Richmond, Scott Smith, Kari Stiles and Jim West</w:t>
      </w:r>
      <w:r w:rsidR="000F2CE3" w:rsidRPr="00387134">
        <w:t xml:space="preserve"> (2009) </w:t>
      </w:r>
      <w:r w:rsidR="000F2CE3" w:rsidRPr="00387134">
        <w:rPr>
          <w:i/>
        </w:rPr>
        <w:t>Assessing the Magnitude and Potential Impacts of Threats/Drivers to Puget Sound Ecosystems: A Demonstration Using DPSIR Conceptual Models</w:t>
      </w:r>
      <w:r w:rsidR="005A1010">
        <w:rPr>
          <w:i/>
        </w:rPr>
        <w:t xml:space="preserve"> (</w:t>
      </w:r>
      <w:r w:rsidR="007F519C">
        <w:rPr>
          <w:i/>
        </w:rPr>
        <w:t xml:space="preserve">unpublished </w:t>
      </w:r>
      <w:r w:rsidR="005A1010">
        <w:rPr>
          <w:i/>
        </w:rPr>
        <w:t>draft)</w:t>
      </w:r>
      <w:r w:rsidR="000F2CE3" w:rsidRPr="00387134">
        <w:rPr>
          <w:i/>
        </w:rPr>
        <w:t>.</w:t>
      </w:r>
      <w:r w:rsidR="000F2CE3" w:rsidRPr="00387134">
        <w:t xml:space="preserve"> </w:t>
      </w:r>
      <w:proofErr w:type="gramStart"/>
      <w:r w:rsidR="000F2CE3" w:rsidRPr="00387134">
        <w:rPr>
          <w:rFonts w:eastAsiaTheme="minorEastAsia"/>
        </w:rPr>
        <w:t>Puget Sound Partnership.</w:t>
      </w:r>
      <w:proofErr w:type="gramEnd"/>
      <w:r w:rsidR="000F2CE3" w:rsidRPr="00387134">
        <w:rPr>
          <w:rFonts w:eastAsiaTheme="minorEastAsia"/>
        </w:rPr>
        <w:t xml:space="preserve"> Tacoma, Washington.</w:t>
      </w:r>
    </w:p>
    <w:p w14:paraId="14466434" w14:textId="77777777" w:rsidR="00387134" w:rsidRPr="00387134" w:rsidRDefault="00387134" w:rsidP="00387134">
      <w:r w:rsidRPr="00387134">
        <w:t>RITT Common Framework Draft (2012)</w:t>
      </w:r>
    </w:p>
    <w:p w14:paraId="0C9FE7A2" w14:textId="77777777" w:rsidR="000F6E5A" w:rsidRDefault="000F6E5A" w:rsidP="000F6E5A">
      <w:pPr>
        <w:pStyle w:val="BodyText"/>
      </w:pPr>
      <w:proofErr w:type="spellStart"/>
      <w:r>
        <w:t>Samhouri</w:t>
      </w:r>
      <w:proofErr w:type="spellEnd"/>
      <w:r>
        <w:t xml:space="preserve"> JF, Levin PS. 2012. Linking land- and sea-based activities to risk in coastal ecosystems. Biological Conservation 145:118-129.</w:t>
      </w:r>
    </w:p>
    <w:p w14:paraId="30F3DCFD" w14:textId="77777777" w:rsidR="00671D09" w:rsidRDefault="00671D09" w:rsidP="00671D09">
      <w:pPr>
        <w:pStyle w:val="Reference0"/>
      </w:pPr>
      <w:proofErr w:type="spellStart"/>
      <w:r>
        <w:t>Schlenger</w:t>
      </w:r>
      <w:proofErr w:type="spellEnd"/>
      <w:r>
        <w:t xml:space="preserve">, P., A. MacLennan, E. Iverson, K. Fresh, C. Tanner, B. Lyons, S. Todd, R. Carman, D. Myers, S. Campbell, and A. Wick, 2011. Strategic Needs Assessment: Analysis of Nearshore Ecosystem Process Degradation in Puget Sound. Prepared for the Puget Sound Nearshore Ecosystem Restoration Project. </w:t>
      </w:r>
      <w:proofErr w:type="gramStart"/>
      <w:r>
        <w:t>Technical Report 2011-02.</w:t>
      </w:r>
      <w:proofErr w:type="gramEnd"/>
    </w:p>
    <w:p w14:paraId="3E54BF05" w14:textId="579B12DF" w:rsidR="00671D09" w:rsidRDefault="00671D09" w:rsidP="00671D09">
      <w:pPr>
        <w:pStyle w:val="Reference0"/>
      </w:pPr>
      <w:r>
        <w:t>&lt;</w:t>
      </w:r>
      <w:r w:rsidRPr="00671D09">
        <w:t xml:space="preserve"> </w:t>
      </w:r>
      <w:hyperlink r:id="rId24" w:history="1">
        <w:r w:rsidRPr="001C3C89">
          <w:rPr>
            <w:rStyle w:val="Hyperlink"/>
          </w:rPr>
          <w:t>http://www.pugetsoundnearshore.org/technical_papers/strategic_needs_assessment_final.pdf</w:t>
        </w:r>
      </w:hyperlink>
      <w:r>
        <w:t>&gt;</w:t>
      </w:r>
    </w:p>
    <w:p w14:paraId="6E31BE27" w14:textId="77777777" w:rsidR="00671D09" w:rsidRDefault="00671D09" w:rsidP="00671D09">
      <w:pPr>
        <w:pStyle w:val="Reference0"/>
      </w:pPr>
    </w:p>
    <w:p w14:paraId="617298B6" w14:textId="3F9FBC90" w:rsidR="00667F8E" w:rsidRDefault="00667F8E" w:rsidP="00671D09">
      <w:pPr>
        <w:pStyle w:val="Reference0"/>
      </w:pPr>
      <w:r>
        <w:t>Schwartz, M.</w:t>
      </w:r>
      <w:r w:rsidRPr="00667F8E">
        <w:t>W.</w:t>
      </w:r>
      <w:r>
        <w:t xml:space="preserve">, K. </w:t>
      </w:r>
      <w:proofErr w:type="spellStart"/>
      <w:r w:rsidRPr="00667F8E">
        <w:t>Deiner</w:t>
      </w:r>
      <w:proofErr w:type="spellEnd"/>
      <w:r>
        <w:t xml:space="preserve">, T. </w:t>
      </w:r>
      <w:r w:rsidRPr="00667F8E">
        <w:t>Forrester</w:t>
      </w:r>
      <w:r>
        <w:t xml:space="preserve">, P. </w:t>
      </w:r>
      <w:proofErr w:type="spellStart"/>
      <w:r>
        <w:t>Grof</w:t>
      </w:r>
      <w:proofErr w:type="spellEnd"/>
      <w:r>
        <w:t xml:space="preserve">-Tisza, M.J. Muir, M.J. </w:t>
      </w:r>
      <w:r w:rsidRPr="00667F8E">
        <w:t>Santos</w:t>
      </w:r>
      <w:r>
        <w:t xml:space="preserve">, L.E. </w:t>
      </w:r>
      <w:r w:rsidRPr="00667F8E">
        <w:t>Souza</w:t>
      </w:r>
      <w:r>
        <w:t xml:space="preserve">, M.L. </w:t>
      </w:r>
      <w:r w:rsidRPr="00667F8E">
        <w:t>Wilkerson</w:t>
      </w:r>
      <w:r>
        <w:t xml:space="preserve">, and M. </w:t>
      </w:r>
      <w:proofErr w:type="spellStart"/>
      <w:r w:rsidRPr="00667F8E">
        <w:t>Zylberberg</w:t>
      </w:r>
      <w:proofErr w:type="spellEnd"/>
      <w:r>
        <w:t xml:space="preserve">, 2012.  </w:t>
      </w:r>
      <w:proofErr w:type="gramStart"/>
      <w:r w:rsidR="00885B87" w:rsidRPr="00885B87">
        <w:t>Perspectives on the Open Standards for the Practice of Conservation</w:t>
      </w:r>
      <w:r w:rsidR="00885B87">
        <w:t>.</w:t>
      </w:r>
      <w:proofErr w:type="gramEnd"/>
      <w:r w:rsidR="00885B87">
        <w:t xml:space="preserve">  </w:t>
      </w:r>
      <w:r w:rsidR="00827CDE" w:rsidRPr="00827CDE">
        <w:t>Bio</w:t>
      </w:r>
      <w:r w:rsidR="00827CDE">
        <w:t>logical Conservation 155: 169-</w:t>
      </w:r>
      <w:r w:rsidR="00827CDE" w:rsidRPr="00827CDE">
        <w:t>177</w:t>
      </w:r>
      <w:r w:rsidR="00827CDE">
        <w:t>.</w:t>
      </w:r>
    </w:p>
    <w:p w14:paraId="0757AF40" w14:textId="77777777" w:rsidR="00667F8E" w:rsidRDefault="00667F8E" w:rsidP="00671D09">
      <w:pPr>
        <w:pStyle w:val="Reference0"/>
      </w:pPr>
    </w:p>
    <w:p w14:paraId="1752DC3C" w14:textId="6D85EF11" w:rsidR="000F6E5A" w:rsidRDefault="000F6E5A" w:rsidP="00671D09">
      <w:pPr>
        <w:pStyle w:val="Reference0"/>
      </w:pPr>
      <w:proofErr w:type="spellStart"/>
      <w:r>
        <w:t>Seebach</w:t>
      </w:r>
      <w:proofErr w:type="spellEnd"/>
      <w:r>
        <w:t xml:space="preserve">, A., </w:t>
      </w:r>
      <w:proofErr w:type="spellStart"/>
      <w:r>
        <w:t>Colnar</w:t>
      </w:r>
      <w:proofErr w:type="spellEnd"/>
      <w:r>
        <w:t xml:space="preserve"> AM, Landis WG.  2010. Chapter 13: Ecological Risk Assessment of the Invasive </w:t>
      </w:r>
      <w:proofErr w:type="spellStart"/>
      <w:r>
        <w:t>Sargassum</w:t>
      </w:r>
      <w:proofErr w:type="spellEnd"/>
      <w:r>
        <w:t xml:space="preserve"> </w:t>
      </w:r>
      <w:proofErr w:type="spellStart"/>
      <w:r>
        <w:t>muticum</w:t>
      </w:r>
      <w:proofErr w:type="spellEnd"/>
      <w:r>
        <w:t xml:space="preserve"> for the Cherry Point Reach, Washington USA.  </w:t>
      </w:r>
      <w:proofErr w:type="gramStart"/>
      <w:r>
        <w:t xml:space="preserve">In </w:t>
      </w:r>
      <w:proofErr w:type="spellStart"/>
      <w:r>
        <w:t>Kapustka</w:t>
      </w:r>
      <w:proofErr w:type="spellEnd"/>
      <w:r>
        <w:t>, LA.</w:t>
      </w:r>
      <w:proofErr w:type="gramEnd"/>
      <w:r>
        <w:t xml:space="preserve"> </w:t>
      </w:r>
      <w:proofErr w:type="gramStart"/>
      <w:r>
        <w:t>and</w:t>
      </w:r>
      <w:proofErr w:type="gramEnd"/>
      <w:r>
        <w:t xml:space="preserve"> Landis WG. Eds. . Environmental Risk Assessment and Management from a Landscape Perspective. John Wiley &amp; Sons, Inc. New York </w:t>
      </w:r>
      <w:proofErr w:type="spellStart"/>
      <w:r>
        <w:t>pp</w:t>
      </w:r>
      <w:proofErr w:type="spellEnd"/>
      <w:r>
        <w:t xml:space="preserve"> 279-301.</w:t>
      </w:r>
    </w:p>
    <w:p w14:paraId="732FCABA" w14:textId="77777777" w:rsidR="00671D09" w:rsidRDefault="00671D09" w:rsidP="00671D09">
      <w:pPr>
        <w:pStyle w:val="Reference0"/>
      </w:pPr>
    </w:p>
    <w:p w14:paraId="248DB641" w14:textId="138FF10F" w:rsidR="003C2E94" w:rsidRDefault="003C2E94" w:rsidP="00671D09">
      <w:pPr>
        <w:pStyle w:val="Reference0"/>
      </w:pPr>
      <w:proofErr w:type="spellStart"/>
      <w:r>
        <w:t>Schlenger</w:t>
      </w:r>
      <w:proofErr w:type="spellEnd"/>
      <w:r>
        <w:t xml:space="preserve">, P., A. MacLennan, E. Iverson, K. Fresh, C. Tanner, B. Lyons, S. Todd, R. Carman, D. Myers, S. Campbell, and A. Wick, 2011. Strategic Needs Assessment: Analysis of Nearshore Ecosystem Process Degradation in Puget Sound. Prepared for the Puget Sound Nearshore Ecosystem Restoration Project. </w:t>
      </w:r>
      <w:proofErr w:type="gramStart"/>
      <w:r>
        <w:t>Technical Report 2011-02.</w:t>
      </w:r>
      <w:proofErr w:type="gramEnd"/>
    </w:p>
    <w:p w14:paraId="3F255057" w14:textId="77777777" w:rsidR="00671D09" w:rsidRDefault="00671D09" w:rsidP="00671D09">
      <w:pPr>
        <w:pStyle w:val="Reference0"/>
      </w:pPr>
    </w:p>
    <w:p w14:paraId="51979802" w14:textId="49083D15" w:rsidR="00AE113E" w:rsidRDefault="00AE113E" w:rsidP="00671D09">
      <w:pPr>
        <w:pStyle w:val="Reference0"/>
      </w:pPr>
      <w:proofErr w:type="spellStart"/>
      <w:r>
        <w:t>Schneidler</w:t>
      </w:r>
      <w:proofErr w:type="spellEnd"/>
      <w:r>
        <w:t xml:space="preserve">, M. and M. Plummer, 2009. </w:t>
      </w:r>
      <w:proofErr w:type="gramStart"/>
      <w:r>
        <w:t>Human Well-Being Indicators.</w:t>
      </w:r>
      <w:proofErr w:type="gramEnd"/>
    </w:p>
    <w:p w14:paraId="3FAF6336" w14:textId="77777777" w:rsidR="00AE113E" w:rsidRDefault="00AE113E" w:rsidP="00671D09">
      <w:pPr>
        <w:pStyle w:val="Reference0"/>
      </w:pPr>
      <w:r>
        <w:t>&lt;http://www.mypugetsound.net/index.php?option=com_docman&amp;task=doc_view&amp;gid=1</w:t>
      </w:r>
    </w:p>
    <w:p w14:paraId="5156D935" w14:textId="467DEA54" w:rsidR="00AE113E" w:rsidRDefault="00AE113E" w:rsidP="00671D09">
      <w:pPr>
        <w:pStyle w:val="Reference0"/>
      </w:pPr>
      <w:r>
        <w:t>98&amp;Itemid=238&gt;</w:t>
      </w:r>
    </w:p>
    <w:p w14:paraId="37DA0B17" w14:textId="77777777" w:rsidR="00671D09" w:rsidRDefault="00671D09" w:rsidP="00671D09">
      <w:pPr>
        <w:pStyle w:val="Reference0"/>
      </w:pPr>
    </w:p>
    <w:p w14:paraId="3DBAC02B" w14:textId="0FFACD50" w:rsidR="00722022" w:rsidRDefault="00722022" w:rsidP="00671D09">
      <w:pPr>
        <w:pStyle w:val="Reference0"/>
      </w:pPr>
      <w:r w:rsidRPr="00722022">
        <w:t xml:space="preserve">Shipman, H., </w:t>
      </w:r>
      <w:r>
        <w:t xml:space="preserve">M.N. </w:t>
      </w:r>
      <w:proofErr w:type="spellStart"/>
      <w:r w:rsidRPr="00722022">
        <w:t>Dethier</w:t>
      </w:r>
      <w:proofErr w:type="spellEnd"/>
      <w:r w:rsidRPr="00722022">
        <w:t xml:space="preserve">, </w:t>
      </w:r>
      <w:r>
        <w:t xml:space="preserve">G. </w:t>
      </w:r>
      <w:proofErr w:type="spellStart"/>
      <w:r>
        <w:t>Gelfenbaum</w:t>
      </w:r>
      <w:proofErr w:type="spellEnd"/>
      <w:r w:rsidRPr="00722022">
        <w:t xml:space="preserve">, </w:t>
      </w:r>
      <w:r>
        <w:t xml:space="preserve">K.L. </w:t>
      </w:r>
      <w:r w:rsidRPr="00722022">
        <w:t xml:space="preserve">Fresh, and </w:t>
      </w:r>
      <w:r>
        <w:t xml:space="preserve">R.S. </w:t>
      </w:r>
      <w:proofErr w:type="spellStart"/>
      <w:r>
        <w:t>Dinicola</w:t>
      </w:r>
      <w:proofErr w:type="spellEnd"/>
      <w:r>
        <w:t xml:space="preserve">, eds., 2010.  </w:t>
      </w:r>
      <w:r w:rsidRPr="00722022">
        <w:t>Puget Sound Shorelines and the Impacts of Armoring—Proceedings of a State of</w:t>
      </w:r>
      <w:r>
        <w:t xml:space="preserve"> the Science Workshop, May 2009.</w:t>
      </w:r>
      <w:r w:rsidRPr="00722022">
        <w:t xml:space="preserve"> U.S. Geological Survey Scientific Investigations Report 2010–5254, 262 p.</w:t>
      </w:r>
      <w:r w:rsidR="00D03A21">
        <w:t xml:space="preserve"> </w:t>
      </w:r>
      <w:r w:rsidR="00671D09">
        <w:t>&lt;</w:t>
      </w:r>
      <w:r w:rsidR="00671D09" w:rsidRPr="00671D09">
        <w:t>http://pubs.usgs.gov/sir/2010/5254/</w:t>
      </w:r>
      <w:r w:rsidR="00671D09">
        <w:t>&gt;</w:t>
      </w:r>
    </w:p>
    <w:p w14:paraId="1587F8C4" w14:textId="77777777" w:rsidR="00671D09" w:rsidRDefault="00671D09" w:rsidP="00671D09">
      <w:pPr>
        <w:pStyle w:val="Reference0"/>
      </w:pPr>
    </w:p>
    <w:p w14:paraId="7EE1B026" w14:textId="77777777" w:rsidR="00664C7F" w:rsidRDefault="00664C7F" w:rsidP="00664C7F">
      <w:pPr>
        <w:pStyle w:val="Reference0"/>
      </w:pPr>
      <w:proofErr w:type="spellStart"/>
      <w:r>
        <w:lastRenderedPageBreak/>
        <w:t>Simenstad</w:t>
      </w:r>
      <w:proofErr w:type="spellEnd"/>
      <w:r>
        <w:t xml:space="preserve">, C.A., M. Ramirez, J. Burke, M. Logsdon, H. Shipman, C. Tanner, J. </w:t>
      </w:r>
      <w:proofErr w:type="spellStart"/>
      <w:r>
        <w:t>Toft</w:t>
      </w:r>
      <w:proofErr w:type="spellEnd"/>
      <w:r>
        <w:t>, B.</w:t>
      </w:r>
    </w:p>
    <w:p w14:paraId="332FA468" w14:textId="77777777" w:rsidR="00664C7F" w:rsidRDefault="00664C7F" w:rsidP="00664C7F">
      <w:pPr>
        <w:pStyle w:val="Reference0"/>
      </w:pPr>
      <w:r>
        <w:t>Craig, C. Davis, J. Fung, P. Bloch, K. Fresh, S. Campbell, D. Myers, E. Iverson, A. Bailey, P.</w:t>
      </w:r>
    </w:p>
    <w:p w14:paraId="45C2F456" w14:textId="25C89FF5" w:rsidR="00664C7F" w:rsidRDefault="00664C7F" w:rsidP="00664C7F">
      <w:pPr>
        <w:pStyle w:val="Reference0"/>
      </w:pPr>
      <w:proofErr w:type="spellStart"/>
      <w:proofErr w:type="gramStart"/>
      <w:r>
        <w:t>Schlenger</w:t>
      </w:r>
      <w:proofErr w:type="spellEnd"/>
      <w:r>
        <w:t xml:space="preserve">, C. </w:t>
      </w:r>
      <w:proofErr w:type="spellStart"/>
      <w:r>
        <w:t>Kiblinger</w:t>
      </w:r>
      <w:proofErr w:type="spellEnd"/>
      <w:r>
        <w:t xml:space="preserve">, P. </w:t>
      </w:r>
      <w:proofErr w:type="spellStart"/>
      <w:r>
        <w:t>Myre</w:t>
      </w:r>
      <w:proofErr w:type="spellEnd"/>
      <w:r>
        <w:t xml:space="preserve">, W. </w:t>
      </w:r>
      <w:proofErr w:type="spellStart"/>
      <w:r>
        <w:t>Gerstel</w:t>
      </w:r>
      <w:proofErr w:type="spellEnd"/>
      <w:r>
        <w:t>, and A. MacLennan, 2011.</w:t>
      </w:r>
      <w:proofErr w:type="gramEnd"/>
      <w:r>
        <w:t xml:space="preserve"> Historical Change of</w:t>
      </w:r>
    </w:p>
    <w:p w14:paraId="632456D0" w14:textId="77777777" w:rsidR="00664C7F" w:rsidRDefault="00664C7F" w:rsidP="00664C7F">
      <w:pPr>
        <w:pStyle w:val="Reference0"/>
      </w:pPr>
      <w:r>
        <w:t>Puget Sound Shorelines: Puget Sound Nearshore Ecosystem Project Change Analysis. Puget</w:t>
      </w:r>
    </w:p>
    <w:p w14:paraId="04236606" w14:textId="77777777" w:rsidR="00664C7F" w:rsidRDefault="00664C7F" w:rsidP="00664C7F">
      <w:pPr>
        <w:pStyle w:val="Reference0"/>
      </w:pPr>
      <w:r>
        <w:t>Sound Nearshore Report No. 2011-01. Published by Washington Department of Fish and</w:t>
      </w:r>
    </w:p>
    <w:p w14:paraId="7313E6A6" w14:textId="5D0D9C57" w:rsidR="00664C7F" w:rsidRDefault="00664C7F" w:rsidP="00664C7F">
      <w:pPr>
        <w:pStyle w:val="Reference0"/>
      </w:pPr>
      <w:proofErr w:type="gramStart"/>
      <w:r>
        <w:t>Wildlife, Olympia, Washington, and U.S. Army Corps of Engineers, Seattle, Washington.</w:t>
      </w:r>
      <w:proofErr w:type="gramEnd"/>
    </w:p>
    <w:p w14:paraId="014EE972" w14:textId="46CAD5CE" w:rsidR="00A027AD" w:rsidRDefault="00A027AD" w:rsidP="00664C7F">
      <w:pPr>
        <w:pStyle w:val="Reference0"/>
      </w:pPr>
      <w:r>
        <w:t>&lt;</w:t>
      </w:r>
      <w:r w:rsidRPr="00A027AD">
        <w:t xml:space="preserve"> </w:t>
      </w:r>
      <w:r w:rsidR="00671D09" w:rsidRPr="00671D09">
        <w:t>http://www.pugetsoundnearshore.org/technical_papers/change_analysis.pdf</w:t>
      </w:r>
      <w:r>
        <w:t>&gt;</w:t>
      </w:r>
    </w:p>
    <w:p w14:paraId="7FD57015" w14:textId="77777777" w:rsidR="00671D09" w:rsidRDefault="00671D09" w:rsidP="00664C7F">
      <w:pPr>
        <w:pStyle w:val="Reference0"/>
      </w:pPr>
    </w:p>
    <w:p w14:paraId="6DC961C7" w14:textId="406B167A" w:rsidR="00746991" w:rsidRDefault="00746991" w:rsidP="00671D09">
      <w:pPr>
        <w:pStyle w:val="Reference0"/>
      </w:pPr>
      <w:proofErr w:type="spellStart"/>
      <w:r>
        <w:t>Smeets</w:t>
      </w:r>
      <w:proofErr w:type="spellEnd"/>
      <w:r>
        <w:t xml:space="preserve">, E., and R. </w:t>
      </w:r>
      <w:proofErr w:type="spellStart"/>
      <w:r>
        <w:t>Weterings</w:t>
      </w:r>
      <w:proofErr w:type="spellEnd"/>
      <w:r>
        <w:t xml:space="preserve">, 1999.  Environmental indicators: typology and overview.  Technical report No. 25, European Environment Agency, </w:t>
      </w:r>
      <w:proofErr w:type="gramStart"/>
      <w:r>
        <w:t>Copenhagen</w:t>
      </w:r>
      <w:proofErr w:type="gramEnd"/>
      <w:r>
        <w:t>, 19 pp.</w:t>
      </w:r>
    </w:p>
    <w:p w14:paraId="16029181" w14:textId="77777777" w:rsidR="00671D09" w:rsidRDefault="00671D09" w:rsidP="00671D09">
      <w:pPr>
        <w:pStyle w:val="Reference0"/>
      </w:pPr>
    </w:p>
    <w:p w14:paraId="0B3B4E3A" w14:textId="1AB02C2C" w:rsidR="00D70C4D" w:rsidRDefault="00D70C4D" w:rsidP="00671D09">
      <w:pPr>
        <w:pStyle w:val="Reference0"/>
      </w:pPr>
      <w:proofErr w:type="gramStart"/>
      <w:r>
        <w:t>Stiles, K. et al., 2013, Puget Sound Partnership Pressure Taxonomy Working Paper.</w:t>
      </w:r>
      <w:proofErr w:type="gramEnd"/>
    </w:p>
    <w:p w14:paraId="2E2CECFB" w14:textId="77777777" w:rsidR="00DD249B" w:rsidRDefault="00DD249B" w:rsidP="00671D09">
      <w:pPr>
        <w:pStyle w:val="Reference0"/>
      </w:pPr>
    </w:p>
    <w:p w14:paraId="70EBDC85" w14:textId="407A481A" w:rsidR="00DD249B" w:rsidRDefault="00DD249B" w:rsidP="00DD249B">
      <w:pPr>
        <w:pStyle w:val="Reference0"/>
      </w:pPr>
      <w:proofErr w:type="spellStart"/>
      <w:r>
        <w:t>Suter</w:t>
      </w:r>
      <w:proofErr w:type="spellEnd"/>
      <w:r>
        <w:t xml:space="preserve">, G.W., S.B. Norton, and A. </w:t>
      </w:r>
      <w:proofErr w:type="spellStart"/>
      <w:r>
        <w:t>Fairbrother</w:t>
      </w:r>
      <w:proofErr w:type="spellEnd"/>
      <w:r>
        <w:t xml:space="preserve">, 2005.  </w:t>
      </w:r>
      <w:proofErr w:type="gramStart"/>
      <w:r>
        <w:t>Individuals versus organisms versus populations in the definition of ecological assessment endpoints.</w:t>
      </w:r>
      <w:proofErr w:type="gramEnd"/>
      <w:r>
        <w:t xml:space="preserve"> </w:t>
      </w:r>
      <w:proofErr w:type="spellStart"/>
      <w:r>
        <w:t>Int</w:t>
      </w:r>
      <w:proofErr w:type="spellEnd"/>
      <w:r>
        <w:t xml:space="preserve"> Environ Assess Man, 1:397–400.</w:t>
      </w:r>
    </w:p>
    <w:p w14:paraId="5D92C9AB" w14:textId="65FFF97B" w:rsidR="002004B2" w:rsidRDefault="002004B2" w:rsidP="00D70C4D">
      <w:pPr>
        <w:pStyle w:val="BodyText"/>
      </w:pPr>
      <w:proofErr w:type="spellStart"/>
      <w:r>
        <w:t>Suter</w:t>
      </w:r>
      <w:proofErr w:type="spellEnd"/>
      <w:r>
        <w:t>, G.</w:t>
      </w:r>
      <w:r w:rsidR="00DD249B">
        <w:t>W.</w:t>
      </w:r>
      <w:r>
        <w:t>, 2007.  Ecological Risk Assessment, Second Edition.  Boca Raton, FL: CRC Press.  643 pp.</w:t>
      </w:r>
    </w:p>
    <w:p w14:paraId="4E99F8DE" w14:textId="75B828E3" w:rsidR="005B7B87" w:rsidRDefault="005B7B87" w:rsidP="00DC30A1">
      <w:pPr>
        <w:pStyle w:val="Reference0"/>
      </w:pPr>
      <w:proofErr w:type="spellStart"/>
      <w:r w:rsidRPr="005B7B87">
        <w:t>Teck</w:t>
      </w:r>
      <w:proofErr w:type="spellEnd"/>
      <w:r w:rsidRPr="005B7B87">
        <w:t xml:space="preserve">, </w:t>
      </w:r>
      <w:r w:rsidR="00310B9B">
        <w:t>S.</w:t>
      </w:r>
      <w:r w:rsidRPr="005B7B87">
        <w:t xml:space="preserve">J., </w:t>
      </w:r>
      <w:r w:rsidR="00310B9B">
        <w:t>B.</w:t>
      </w:r>
      <w:r w:rsidRPr="005B7B87">
        <w:t>S. Halpern, C</w:t>
      </w:r>
      <w:r w:rsidR="00310B9B">
        <w:t>.</w:t>
      </w:r>
      <w:r w:rsidRPr="005B7B87">
        <w:t xml:space="preserve">V. </w:t>
      </w:r>
      <w:proofErr w:type="spellStart"/>
      <w:r w:rsidRPr="005B7B87">
        <w:t>Kappel</w:t>
      </w:r>
      <w:proofErr w:type="spellEnd"/>
      <w:r w:rsidRPr="005B7B87">
        <w:t>, F</w:t>
      </w:r>
      <w:r w:rsidR="00310B9B">
        <w:t>.</w:t>
      </w:r>
      <w:r w:rsidRPr="005B7B87">
        <w:t xml:space="preserve"> </w:t>
      </w:r>
      <w:proofErr w:type="spellStart"/>
      <w:r w:rsidRPr="005B7B87">
        <w:t>Micheli</w:t>
      </w:r>
      <w:proofErr w:type="spellEnd"/>
      <w:r w:rsidRPr="005B7B87">
        <w:t>, K</w:t>
      </w:r>
      <w:r w:rsidR="00310B9B">
        <w:t>.</w:t>
      </w:r>
      <w:r w:rsidRPr="005B7B87">
        <w:t xml:space="preserve">A. </w:t>
      </w:r>
      <w:proofErr w:type="spellStart"/>
      <w:r w:rsidRPr="005B7B87">
        <w:t>Selkoe</w:t>
      </w:r>
      <w:proofErr w:type="spellEnd"/>
      <w:r w:rsidRPr="005B7B87">
        <w:t>, C</w:t>
      </w:r>
      <w:r w:rsidR="00310B9B">
        <w:t>.</w:t>
      </w:r>
      <w:r w:rsidRPr="005B7B87">
        <w:t>M. Crain, R</w:t>
      </w:r>
      <w:r w:rsidR="00310B9B">
        <w:t xml:space="preserve">. </w:t>
      </w:r>
      <w:proofErr w:type="spellStart"/>
      <w:r w:rsidR="00310B9B">
        <w:t>Martone</w:t>
      </w:r>
      <w:proofErr w:type="spellEnd"/>
      <w:r w:rsidR="00310B9B">
        <w:t xml:space="preserve">, C. Shearer, J. </w:t>
      </w:r>
      <w:proofErr w:type="spellStart"/>
      <w:r w:rsidR="00310B9B">
        <w:t>Arvai</w:t>
      </w:r>
      <w:proofErr w:type="spellEnd"/>
      <w:r w:rsidR="00310B9B">
        <w:t xml:space="preserve">, B. </w:t>
      </w:r>
      <w:proofErr w:type="spellStart"/>
      <w:r w:rsidR="00310B9B">
        <w:t>Fischhoff</w:t>
      </w:r>
      <w:proofErr w:type="spellEnd"/>
      <w:r w:rsidR="00310B9B">
        <w:t xml:space="preserve">, G. Murray, R. </w:t>
      </w:r>
      <w:proofErr w:type="spellStart"/>
      <w:r w:rsidR="00310B9B">
        <w:t>Neslo</w:t>
      </w:r>
      <w:proofErr w:type="spellEnd"/>
      <w:r w:rsidR="00310B9B">
        <w:t xml:space="preserve">, and R. Cooke, 2010.  </w:t>
      </w:r>
      <w:r w:rsidRPr="005B7B87">
        <w:t xml:space="preserve">Using expert judgment to estimate marine ecosystem vulnerability in </w:t>
      </w:r>
      <w:r w:rsidR="00310B9B">
        <w:t>the California Current.</w:t>
      </w:r>
      <w:r w:rsidRPr="005B7B87">
        <w:t xml:space="preserve"> </w:t>
      </w:r>
      <w:r w:rsidR="00310B9B">
        <w:t>Ecological Applications 20(</w:t>
      </w:r>
      <w:r w:rsidRPr="005B7B87">
        <w:t>5</w:t>
      </w:r>
      <w:r w:rsidR="00310B9B">
        <w:t xml:space="preserve">): </w:t>
      </w:r>
      <w:r w:rsidRPr="005B7B87">
        <w:t>1402-1416.</w:t>
      </w:r>
    </w:p>
    <w:p w14:paraId="0C982D7E" w14:textId="77777777" w:rsidR="00671D09" w:rsidRDefault="00671D09" w:rsidP="00DC30A1">
      <w:pPr>
        <w:pStyle w:val="Reference0"/>
      </w:pPr>
    </w:p>
    <w:p w14:paraId="4E60726F" w14:textId="65B49B32" w:rsidR="00A00353" w:rsidRDefault="00A00353" w:rsidP="00DC30A1">
      <w:pPr>
        <w:pStyle w:val="Reference0"/>
      </w:pPr>
      <w:r>
        <w:t xml:space="preserve">Turner, B.L., R.E. </w:t>
      </w:r>
      <w:proofErr w:type="spellStart"/>
      <w:r>
        <w:t>Kasperson</w:t>
      </w:r>
      <w:proofErr w:type="spellEnd"/>
      <w:r>
        <w:t xml:space="preserve">, P.A. Matson, J.J. McCarthy, R.W. </w:t>
      </w:r>
      <w:proofErr w:type="spellStart"/>
      <w:r>
        <w:t>Corell</w:t>
      </w:r>
      <w:proofErr w:type="spellEnd"/>
      <w:r>
        <w:t xml:space="preserve">, L. Christensen et al., 2003. </w:t>
      </w:r>
      <w:proofErr w:type="gramStart"/>
      <w:r>
        <w:t>A framework for vulnerability analysis in sustainability science.</w:t>
      </w:r>
      <w:proofErr w:type="gramEnd"/>
      <w:r>
        <w:t xml:space="preserve"> </w:t>
      </w:r>
      <w:proofErr w:type="spellStart"/>
      <w:r>
        <w:t>Proc</w:t>
      </w:r>
      <w:proofErr w:type="spellEnd"/>
      <w:r>
        <w:t xml:space="preserve"> </w:t>
      </w:r>
      <w:proofErr w:type="spellStart"/>
      <w:r>
        <w:t>Natl</w:t>
      </w:r>
      <w:proofErr w:type="spellEnd"/>
      <w:r>
        <w:t xml:space="preserve"> </w:t>
      </w:r>
      <w:proofErr w:type="spellStart"/>
      <w:r>
        <w:t>Acad</w:t>
      </w:r>
      <w:proofErr w:type="spellEnd"/>
      <w:r>
        <w:t xml:space="preserve"> </w:t>
      </w:r>
      <w:proofErr w:type="spellStart"/>
      <w:r>
        <w:t>Sci</w:t>
      </w:r>
      <w:proofErr w:type="spellEnd"/>
      <w:r>
        <w:t>: 8074-9.</w:t>
      </w:r>
    </w:p>
    <w:p w14:paraId="3D0AD407" w14:textId="77777777" w:rsidR="00DC30A1" w:rsidRDefault="00DC30A1" w:rsidP="00DC30A1">
      <w:pPr>
        <w:pStyle w:val="Reference0"/>
      </w:pPr>
    </w:p>
    <w:p w14:paraId="18CE4455" w14:textId="3C202734" w:rsidR="00FC22FA" w:rsidRDefault="00FC22FA" w:rsidP="00DC30A1">
      <w:pPr>
        <w:pStyle w:val="Reference0"/>
      </w:pPr>
      <w:proofErr w:type="spellStart"/>
      <w:r>
        <w:t>Tversky</w:t>
      </w:r>
      <w:proofErr w:type="spellEnd"/>
      <w:r>
        <w:t xml:space="preserve">, A. and D. </w:t>
      </w:r>
      <w:proofErr w:type="spellStart"/>
      <w:r>
        <w:t>Kahneman</w:t>
      </w:r>
      <w:proofErr w:type="spellEnd"/>
      <w:r>
        <w:t xml:space="preserve">, 1974.  Judgment under </w:t>
      </w:r>
      <w:proofErr w:type="spellStart"/>
      <w:r>
        <w:t>Uncerainty</w:t>
      </w:r>
      <w:proofErr w:type="spellEnd"/>
      <w:r>
        <w:t>: Heuristics and Biases. Science. 185: 1124-1131.</w:t>
      </w:r>
    </w:p>
    <w:p w14:paraId="6374F0C0" w14:textId="77777777" w:rsidR="00DC30A1" w:rsidRDefault="00DC30A1" w:rsidP="00DC30A1">
      <w:pPr>
        <w:pStyle w:val="Reference0"/>
      </w:pPr>
    </w:p>
    <w:p w14:paraId="5D224343" w14:textId="432987E6" w:rsidR="00DC30A1" w:rsidRDefault="00DC30A1" w:rsidP="00671D09">
      <w:pPr>
        <w:pStyle w:val="Reference0"/>
        <w:rPr>
          <w:rFonts w:ascii="TimesNewRomanPSMT" w:eastAsiaTheme="minorEastAsia" w:hAnsi="TimesNewRomanPSMT" w:cs="TimesNewRomanPSMT"/>
          <w:color w:val="auto"/>
        </w:rPr>
      </w:pPr>
      <w:proofErr w:type="gramStart"/>
      <w:r>
        <w:rPr>
          <w:rFonts w:ascii="TimesNewRomanPSMT" w:eastAsiaTheme="minorEastAsia" w:hAnsi="TimesNewRomanPSMT" w:cs="TimesNewRomanPSMT"/>
          <w:color w:val="auto"/>
        </w:rPr>
        <w:t>U.S. Commission on Ocean Policy.</w:t>
      </w:r>
      <w:proofErr w:type="gramEnd"/>
      <w:r>
        <w:rPr>
          <w:rFonts w:ascii="TimesNewRomanPSMT" w:eastAsiaTheme="minorEastAsia" w:hAnsi="TimesNewRomanPSMT" w:cs="TimesNewRomanPSMT"/>
          <w:color w:val="auto"/>
        </w:rPr>
        <w:t xml:space="preserve"> 2004. An Ocean Blueprint for the 21st Century. Washington, DC.</w:t>
      </w:r>
    </w:p>
    <w:p w14:paraId="1BB2C1BB" w14:textId="63047509" w:rsidR="00DC30A1" w:rsidRDefault="00DC30A1" w:rsidP="00671D09">
      <w:pPr>
        <w:pStyle w:val="Reference0"/>
        <w:rPr>
          <w:rFonts w:ascii="TimesNewRomanPSMT" w:eastAsiaTheme="minorEastAsia" w:hAnsi="TimesNewRomanPSMT" w:cs="TimesNewRomanPSMT"/>
          <w:color w:val="auto"/>
        </w:rPr>
      </w:pPr>
      <w:r>
        <w:rPr>
          <w:rFonts w:ascii="TimesNewRomanPSMT" w:eastAsiaTheme="minorEastAsia" w:hAnsi="TimesNewRomanPSMT" w:cs="TimesNewRomanPSMT"/>
          <w:color w:val="auto"/>
        </w:rPr>
        <w:t>&lt;</w:t>
      </w:r>
      <w:r w:rsidRPr="00DC30A1">
        <w:rPr>
          <w:rFonts w:ascii="TimesNewRomanPSMT" w:eastAsiaTheme="minorEastAsia" w:hAnsi="TimesNewRomanPSMT" w:cs="TimesNewRomanPSMT"/>
          <w:color w:val="auto"/>
        </w:rPr>
        <w:t>http://www.oceancommission.gov</w:t>
      </w:r>
      <w:r>
        <w:rPr>
          <w:rFonts w:ascii="TimesNewRomanPSMT" w:eastAsiaTheme="minorEastAsia" w:hAnsi="TimesNewRomanPSMT" w:cs="TimesNewRomanPSMT"/>
          <w:color w:val="auto"/>
        </w:rPr>
        <w:t>&gt;</w:t>
      </w:r>
    </w:p>
    <w:p w14:paraId="2B4F4910" w14:textId="77777777" w:rsidR="00DC30A1" w:rsidRDefault="00DC30A1" w:rsidP="00671D09">
      <w:pPr>
        <w:pStyle w:val="Reference0"/>
      </w:pPr>
    </w:p>
    <w:p w14:paraId="1FB7760D" w14:textId="78063FBB" w:rsidR="000F6E5A" w:rsidRDefault="000F6E5A" w:rsidP="00671D09">
      <w:pPr>
        <w:pStyle w:val="Reference0"/>
      </w:pPr>
      <w:proofErr w:type="gramStart"/>
      <w:r>
        <w:t>U.S. EPA, 1992.</w:t>
      </w:r>
      <w:proofErr w:type="gramEnd"/>
      <w:r>
        <w:t xml:space="preserve"> </w:t>
      </w:r>
      <w:proofErr w:type="gramStart"/>
      <w:r>
        <w:t>Framework for Ecological Risk Assessment.</w:t>
      </w:r>
      <w:proofErr w:type="gramEnd"/>
      <w:r>
        <w:t xml:space="preserve"> U.S. Environmental Protection Agency, Risk Assessment Forum, Washington, DC, EPA/630/R-92/001.</w:t>
      </w:r>
    </w:p>
    <w:p w14:paraId="4DDD24CF" w14:textId="77777777" w:rsidR="00671D09" w:rsidRDefault="00671D09" w:rsidP="00671D09">
      <w:pPr>
        <w:pStyle w:val="Reference0"/>
      </w:pPr>
    </w:p>
    <w:p w14:paraId="5C389A3A" w14:textId="2D6E1F58" w:rsidR="000F6E5A" w:rsidRDefault="000F6E5A" w:rsidP="00671D09">
      <w:pPr>
        <w:pStyle w:val="Reference0"/>
      </w:pPr>
      <w:r>
        <w:t>U.S. EPA. 1993. Review of Ecological Assessment Case Studies from a Risk Assessment Perspective. U.S. Environmental Protection Agency, Risk Assessment Forum, Washington, DC, EPA/630/R-92/005.</w:t>
      </w:r>
    </w:p>
    <w:p w14:paraId="6BE3047E" w14:textId="35511B03" w:rsidR="000F6E5A" w:rsidRDefault="000F6E5A" w:rsidP="000F6E5A">
      <w:pPr>
        <w:pStyle w:val="BodyText"/>
      </w:pPr>
      <w:proofErr w:type="gramStart"/>
      <w:r>
        <w:t>U.S. EPA, 1998.</w:t>
      </w:r>
      <w:proofErr w:type="gramEnd"/>
      <w:r>
        <w:t xml:space="preserve"> </w:t>
      </w:r>
      <w:proofErr w:type="gramStart"/>
      <w:r>
        <w:t>Guidelines for Ecological Risk Assessment.</w:t>
      </w:r>
      <w:proofErr w:type="gramEnd"/>
      <w:r>
        <w:t xml:space="preserve"> U.S. Environmental Protection Agency, Risk Assessment Forum, Washington, DC, EPA/630/R095/002F.</w:t>
      </w:r>
    </w:p>
    <w:p w14:paraId="7965FF49" w14:textId="609EB045" w:rsidR="00413D7A" w:rsidRPr="00CF15AC" w:rsidRDefault="00413D7A" w:rsidP="00D70C4D">
      <w:pPr>
        <w:pStyle w:val="BodyText"/>
      </w:pPr>
      <w:r>
        <w:t xml:space="preserve">Williams, L.R.R. and L.A. </w:t>
      </w:r>
      <w:proofErr w:type="spellStart"/>
      <w:r>
        <w:t>Kapu</w:t>
      </w:r>
      <w:r w:rsidR="00D37113">
        <w:t>stk</w:t>
      </w:r>
      <w:r>
        <w:t>a</w:t>
      </w:r>
      <w:proofErr w:type="spellEnd"/>
      <w:r>
        <w:t xml:space="preserve">, 2000. Ecosystem vulnerability: a complex interface with technical components. Environ </w:t>
      </w:r>
      <w:proofErr w:type="spellStart"/>
      <w:r>
        <w:t>Toxicol</w:t>
      </w:r>
      <w:proofErr w:type="spellEnd"/>
      <w:r>
        <w:t xml:space="preserve"> </w:t>
      </w:r>
      <w:proofErr w:type="spellStart"/>
      <w:r>
        <w:t>Chem</w:t>
      </w:r>
      <w:proofErr w:type="spellEnd"/>
      <w:r>
        <w:t>, 19, 1055-8.</w:t>
      </w:r>
    </w:p>
    <w:p w14:paraId="5B8756FA" w14:textId="2648ACB4" w:rsidR="00486ACF" w:rsidRDefault="00486ACF" w:rsidP="00486ACF">
      <w:pPr>
        <w:pStyle w:val="Reference0"/>
      </w:pPr>
      <w:r>
        <w:t xml:space="preserve">Wilson, K., R. L. </w:t>
      </w:r>
      <w:proofErr w:type="spellStart"/>
      <w:r>
        <w:t>Pressey</w:t>
      </w:r>
      <w:proofErr w:type="spellEnd"/>
      <w:r>
        <w:t xml:space="preserve">, A. Newton, M. </w:t>
      </w:r>
      <w:proofErr w:type="spellStart"/>
      <w:r>
        <w:t>Burgman</w:t>
      </w:r>
      <w:proofErr w:type="spellEnd"/>
      <w:r>
        <w:t xml:space="preserve">, H. </w:t>
      </w:r>
      <w:proofErr w:type="spellStart"/>
      <w:r>
        <w:t>Possingham</w:t>
      </w:r>
      <w:proofErr w:type="spellEnd"/>
      <w:r>
        <w:t>, and C. Weston, 2005. Measuring and incorporating vulnerability into conservation planning. Environmental Management 35:527–543.</w:t>
      </w:r>
    </w:p>
    <w:p w14:paraId="0DC0ED9C" w14:textId="3D684187" w:rsidR="000F6E5A" w:rsidRDefault="000F6E5A" w:rsidP="006B5EBD">
      <w:r w:rsidRPr="000F6E5A">
        <w:t>Windward. 2007. Lower Duwamish Waterway remedial investigation phase 2 remedial investigation report appendix A: baseline ecological risk assessment final.</w:t>
      </w:r>
    </w:p>
    <w:p w14:paraId="4DCE2BBA" w14:textId="72CFC77F" w:rsidR="00224D13" w:rsidRPr="00224D13" w:rsidRDefault="001551B0" w:rsidP="009653D6">
      <w:r>
        <w:t xml:space="preserve">Zhang, N.L. and D. Poole, 1996.  Exploiting Causal Independence in Bayesian Network Inference. </w:t>
      </w:r>
      <w:proofErr w:type="gramStart"/>
      <w:r>
        <w:t xml:space="preserve">Journal of Artificial </w:t>
      </w:r>
      <w:r w:rsidR="009653D6">
        <w:t>Intelligence Research.</w:t>
      </w:r>
      <w:proofErr w:type="gramEnd"/>
      <w:r w:rsidR="009653D6">
        <w:t xml:space="preserve"> 5:301-28</w:t>
      </w:r>
    </w:p>
    <w:sectPr w:rsidR="00224D13" w:rsidRPr="00224D13" w:rsidSect="005A55F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7B2AD" w14:textId="77777777" w:rsidR="00074ADD" w:rsidRDefault="00074ADD" w:rsidP="00733F67">
      <w:r>
        <w:separator/>
      </w:r>
    </w:p>
    <w:p w14:paraId="3F8E78DB" w14:textId="77777777" w:rsidR="00074ADD" w:rsidRDefault="00074ADD"/>
  </w:endnote>
  <w:endnote w:type="continuationSeparator" w:id="0">
    <w:p w14:paraId="5D280D24" w14:textId="77777777" w:rsidR="00074ADD" w:rsidRDefault="00074ADD" w:rsidP="00733F67">
      <w:r>
        <w:continuationSeparator/>
      </w:r>
    </w:p>
    <w:p w14:paraId="648D1523" w14:textId="77777777" w:rsidR="00074ADD" w:rsidRDefault="00074A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F7FDC" w14:textId="77777777" w:rsidR="00074ADD" w:rsidRDefault="00074ADD" w:rsidP="00B628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F90DC9" w14:textId="77777777" w:rsidR="00074ADD" w:rsidRDefault="00074ADD" w:rsidP="00551C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6AAD3" w14:textId="77777777" w:rsidR="00074ADD" w:rsidRDefault="00074ADD" w:rsidP="004B7A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246D">
      <w:rPr>
        <w:rStyle w:val="PageNumber"/>
        <w:noProof/>
      </w:rPr>
      <w:t>2</w:t>
    </w:r>
    <w:r>
      <w:rPr>
        <w:rStyle w:val="PageNumber"/>
      </w:rPr>
      <w:fldChar w:fldCharType="end"/>
    </w:r>
  </w:p>
  <w:p w14:paraId="2E8BFF22" w14:textId="28D38BF0" w:rsidR="00074ADD" w:rsidRDefault="00074ADD" w:rsidP="00B62848">
    <w:pPr>
      <w:pStyle w:val="Footer"/>
      <w:jc w:val="both"/>
    </w:pP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B0C49" w14:textId="77777777" w:rsidR="00074ADD" w:rsidRDefault="00074ADD" w:rsidP="005A7B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246D">
      <w:rPr>
        <w:rStyle w:val="PageNumber"/>
        <w:noProof/>
      </w:rPr>
      <w:t>1</w:t>
    </w:r>
    <w:r>
      <w:rPr>
        <w:rStyle w:val="PageNumber"/>
      </w:rPr>
      <w:fldChar w:fldCharType="end"/>
    </w:r>
  </w:p>
  <w:p w14:paraId="6B6312E0" w14:textId="77777777" w:rsidR="00074ADD" w:rsidRDefault="00074A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ADBF4" w14:textId="77777777" w:rsidR="00074ADD" w:rsidRDefault="00074ADD" w:rsidP="00733F67">
      <w:r>
        <w:separator/>
      </w:r>
    </w:p>
    <w:p w14:paraId="2A852863" w14:textId="77777777" w:rsidR="00074ADD" w:rsidRDefault="00074ADD"/>
  </w:footnote>
  <w:footnote w:type="continuationSeparator" w:id="0">
    <w:p w14:paraId="16630CE0" w14:textId="77777777" w:rsidR="00074ADD" w:rsidRDefault="00074ADD" w:rsidP="00733F67">
      <w:r>
        <w:continuationSeparator/>
      </w:r>
    </w:p>
    <w:p w14:paraId="70F1BBD2" w14:textId="77777777" w:rsidR="00074ADD" w:rsidRDefault="00074ADD"/>
  </w:footnote>
  <w:footnote w:id="1">
    <w:p w14:paraId="284894BA" w14:textId="1C15397B" w:rsidR="00074ADD" w:rsidRPr="0059369E" w:rsidRDefault="00074ADD" w:rsidP="0059369E">
      <w:pPr>
        <w:pStyle w:val="FootnoteText"/>
        <w:spacing w:before="0" w:after="0"/>
        <w:rPr>
          <w:sz w:val="18"/>
          <w:szCs w:val="18"/>
        </w:rPr>
      </w:pPr>
      <w:r>
        <w:rPr>
          <w:rStyle w:val="FootnoteReference"/>
        </w:rPr>
        <w:footnoteRef/>
      </w:r>
      <w:r>
        <w:t xml:space="preserve"> </w:t>
      </w:r>
      <w:r w:rsidRPr="0059369E">
        <w:rPr>
          <w:sz w:val="18"/>
          <w:szCs w:val="18"/>
          <w:shd w:val="clear" w:color="auto" w:fill="FFFFFF"/>
        </w:rPr>
        <w:t xml:space="preserve">The reason we resort to </w:t>
      </w:r>
      <w:r>
        <w:rPr>
          <w:sz w:val="18"/>
          <w:szCs w:val="18"/>
          <w:shd w:val="clear" w:color="auto" w:fill="FFFFFF"/>
        </w:rPr>
        <w:t>a non-mechanistic level of abstraction</w:t>
      </w:r>
      <w:r w:rsidRPr="0059369E">
        <w:rPr>
          <w:sz w:val="18"/>
          <w:szCs w:val="18"/>
          <w:shd w:val="clear" w:color="auto" w:fill="FFFFFF"/>
        </w:rPr>
        <w:t xml:space="preserve"> </w:t>
      </w:r>
      <w:r>
        <w:rPr>
          <w:sz w:val="18"/>
          <w:szCs w:val="18"/>
          <w:shd w:val="clear" w:color="auto" w:fill="FFFFFF"/>
        </w:rPr>
        <w:t>in the pressures assessment framework</w:t>
      </w:r>
      <w:r w:rsidRPr="0059369E">
        <w:rPr>
          <w:sz w:val="18"/>
          <w:szCs w:val="18"/>
          <w:shd w:val="clear" w:color="auto" w:fill="FFFFFF"/>
        </w:rPr>
        <w:t xml:space="preserve"> is due to the broad variety of mechanisms and scales involved in the many relevant stressor/endpoint interactions in which we are interested.</w:t>
      </w:r>
    </w:p>
  </w:footnote>
  <w:footnote w:id="2">
    <w:p w14:paraId="442D7898" w14:textId="77777777" w:rsidR="00074ADD" w:rsidRPr="00407772" w:rsidRDefault="00074ADD" w:rsidP="00112ECC">
      <w:pPr>
        <w:pStyle w:val="FootnoteText"/>
        <w:rPr>
          <w:sz w:val="18"/>
        </w:rPr>
      </w:pPr>
      <w:r>
        <w:rPr>
          <w:rStyle w:val="FootnoteReference"/>
        </w:rPr>
        <w:footnoteRef/>
      </w:r>
      <w:r>
        <w:t xml:space="preserve"> </w:t>
      </w:r>
      <w:r w:rsidRPr="00407772">
        <w:rPr>
          <w:sz w:val="18"/>
        </w:rPr>
        <w:t>Action areas are geographic areas defined by Washington State legislation, roughly corresponding to Puget Sound marine-sub-basins bounded by adjacent watersheds</w:t>
      </w:r>
      <w:r>
        <w:rPr>
          <w:sz w:val="18"/>
        </w:rPr>
        <w:t>, for the original purpose of organizing the Puget Sound recovery process</w:t>
      </w:r>
      <w:r w:rsidRPr="00407772">
        <w:rPr>
          <w:sz w:val="18"/>
        </w:rPr>
        <w:t>.</w:t>
      </w:r>
      <w:r>
        <w:rPr>
          <w:sz w:val="18"/>
        </w:rPr>
        <w:t xml:space="preserve">  See </w:t>
      </w:r>
      <w:r w:rsidRPr="00407772">
        <w:rPr>
          <w:sz w:val="18"/>
        </w:rPr>
        <w:t>http://www.psp.wa.gov/aa_action_areas.php</w:t>
      </w:r>
      <w:r>
        <w:rPr>
          <w:sz w:val="18"/>
        </w:rPr>
        <w:t>.</w:t>
      </w:r>
    </w:p>
  </w:footnote>
  <w:footnote w:id="3">
    <w:p w14:paraId="4903F9D5" w14:textId="567D8021" w:rsidR="00074ADD" w:rsidRPr="008C2EB9" w:rsidRDefault="00074ADD">
      <w:pPr>
        <w:pStyle w:val="FootnoteText"/>
        <w:rPr>
          <w:sz w:val="20"/>
        </w:rPr>
      </w:pPr>
      <w:r>
        <w:rPr>
          <w:rStyle w:val="FootnoteReference"/>
        </w:rPr>
        <w:footnoteRef/>
      </w:r>
      <w:r>
        <w:t xml:space="preserve"> </w:t>
      </w:r>
      <w:r w:rsidRPr="008C2EB9">
        <w:rPr>
          <w:sz w:val="20"/>
        </w:rPr>
        <w:t>Note that “drivers” has a specific definition within this conceptual model that differs from the more general usage of word elsewhere in this report.</w:t>
      </w:r>
      <w:r>
        <w:rPr>
          <w:sz w:val="20"/>
        </w:rPr>
        <w:t xml:space="preserve">  We retain this definition here to be consistent with the model described in the PSP Biennial Science Work Plan.</w:t>
      </w:r>
    </w:p>
  </w:footnote>
  <w:footnote w:id="4">
    <w:p w14:paraId="0A5C6D8F" w14:textId="45049904" w:rsidR="00074ADD" w:rsidRPr="00CE61B5" w:rsidRDefault="00074ADD">
      <w:pPr>
        <w:pStyle w:val="FootnoteText"/>
        <w:rPr>
          <w:sz w:val="20"/>
        </w:rPr>
      </w:pPr>
      <w:r>
        <w:rPr>
          <w:rStyle w:val="FootnoteReference"/>
        </w:rPr>
        <w:footnoteRef/>
      </w:r>
      <w:r>
        <w:t xml:space="preserve"> </w:t>
      </w:r>
      <w:r w:rsidRPr="00CE61B5">
        <w:rPr>
          <w:sz w:val="20"/>
        </w:rPr>
        <w:t>Note that the relations between pressure classes, stressors, and ecosystem changes can be complicated, involvi</w:t>
      </w:r>
      <w:r>
        <w:rPr>
          <w:sz w:val="20"/>
        </w:rPr>
        <w:t>ng cascading causes and effects.</w:t>
      </w:r>
    </w:p>
  </w:footnote>
  <w:footnote w:id="5">
    <w:p w14:paraId="718C3AAC" w14:textId="498B6414" w:rsidR="00074ADD" w:rsidRPr="00FC0F4D" w:rsidRDefault="00074ADD">
      <w:pPr>
        <w:pStyle w:val="FootnoteText"/>
        <w:rPr>
          <w:sz w:val="20"/>
        </w:rPr>
      </w:pPr>
      <w:r w:rsidRPr="00FC0F4D">
        <w:rPr>
          <w:rStyle w:val="FootnoteReference"/>
          <w:sz w:val="20"/>
        </w:rPr>
        <w:footnoteRef/>
      </w:r>
      <w:r w:rsidRPr="00FC0F4D">
        <w:rPr>
          <w:sz w:val="24"/>
        </w:rPr>
        <w:t xml:space="preserve"> </w:t>
      </w:r>
      <w:r w:rsidRPr="00FC0F4D">
        <w:rPr>
          <w:sz w:val="20"/>
        </w:rPr>
        <w:t>Expert elicitation is a systematic process to formalize and quantify the judgments of experts and usually includes an assessment and representation of the uncertainty underlying these judgments (USEPA, 2009).</w:t>
      </w:r>
    </w:p>
  </w:footnote>
  <w:footnote w:id="6">
    <w:p w14:paraId="718985F0" w14:textId="2A7E1C20" w:rsidR="00074ADD" w:rsidRPr="00EA002B" w:rsidRDefault="00074ADD">
      <w:pPr>
        <w:pStyle w:val="FootnoteText"/>
        <w:rPr>
          <w:sz w:val="20"/>
        </w:rPr>
      </w:pPr>
      <w:r>
        <w:rPr>
          <w:rStyle w:val="FootnoteReference"/>
        </w:rPr>
        <w:footnoteRef/>
      </w:r>
      <w:r>
        <w:t xml:space="preserve"> </w:t>
      </w:r>
      <w:r w:rsidRPr="00394218">
        <w:rPr>
          <w:sz w:val="20"/>
        </w:rPr>
        <w:t xml:space="preserve">Assessment context refers to the assumptions, </w:t>
      </w:r>
      <w:r>
        <w:rPr>
          <w:sz w:val="20"/>
        </w:rPr>
        <w:t>supporting information</w:t>
      </w:r>
      <w:r w:rsidRPr="00394218">
        <w:rPr>
          <w:sz w:val="20"/>
        </w:rPr>
        <w:t>, and knowledge that experts use as the basis of their judgment</w:t>
      </w:r>
      <w:r>
        <w:rPr>
          <w:sz w:val="20"/>
        </w:rPr>
        <w:t xml:space="preserve"> when uncertainty is present</w:t>
      </w:r>
      <w:r w:rsidRPr="00394218">
        <w:rPr>
          <w:sz w:val="20"/>
        </w:rPr>
        <w:t>.  In the decision analysis literature, this is sometimes referred to as the “background state of information”</w:t>
      </w:r>
      <w:r>
        <w:rPr>
          <w:sz w:val="20"/>
        </w:rPr>
        <w:t xml:space="preserve"> and by convention is symbolized by “&amp;”</w:t>
      </w:r>
      <w:r w:rsidRPr="00394218">
        <w:rPr>
          <w:sz w:val="20"/>
        </w:rPr>
        <w:t>.</w:t>
      </w:r>
      <w:r>
        <w:rPr>
          <w:sz w:val="20"/>
        </w:rPr>
        <w:t xml:space="preserve">   In Bayesian probability, an assessed probability distribution </w:t>
      </w:r>
      <w:r w:rsidRPr="00EA002B">
        <w:rPr>
          <w:b/>
          <w:sz w:val="20"/>
        </w:rPr>
        <w:t>A</w:t>
      </w:r>
      <w:r>
        <w:rPr>
          <w:sz w:val="20"/>
        </w:rPr>
        <w:t>, defined over states a</w:t>
      </w:r>
      <w:r>
        <w:rPr>
          <w:sz w:val="20"/>
          <w:vertAlign w:val="subscript"/>
        </w:rPr>
        <w:t>1</w:t>
      </w:r>
      <w:r>
        <w:rPr>
          <w:sz w:val="20"/>
        </w:rPr>
        <w:t>, a</w:t>
      </w:r>
      <w:r>
        <w:rPr>
          <w:sz w:val="20"/>
          <w:vertAlign w:val="subscript"/>
        </w:rPr>
        <w:t>2</w:t>
      </w:r>
      <w:r>
        <w:rPr>
          <w:sz w:val="20"/>
        </w:rPr>
        <w:t>, … a</w:t>
      </w:r>
      <w:r>
        <w:rPr>
          <w:sz w:val="20"/>
          <w:vertAlign w:val="subscript"/>
        </w:rPr>
        <w:t>n</w:t>
      </w:r>
      <w:r>
        <w:rPr>
          <w:sz w:val="20"/>
        </w:rPr>
        <w:t>, is written {</w:t>
      </w:r>
      <w:r w:rsidRPr="00EA002B">
        <w:rPr>
          <w:b/>
          <w:sz w:val="20"/>
        </w:rPr>
        <w:t>A</w:t>
      </w:r>
      <w:r>
        <w:rPr>
          <w:sz w:val="20"/>
        </w:rPr>
        <w:t xml:space="preserve">|&amp;}, to formalize the background state of information that supports the assessment.  If we learn that a potentially relevant event, </w:t>
      </w:r>
      <w:r w:rsidRPr="00EA002B">
        <w:rPr>
          <w:b/>
          <w:sz w:val="20"/>
        </w:rPr>
        <w:t>B</w:t>
      </w:r>
      <w:r>
        <w:rPr>
          <w:sz w:val="20"/>
        </w:rPr>
        <w:t>=b</w:t>
      </w:r>
      <w:r w:rsidRPr="00EA002B">
        <w:rPr>
          <w:sz w:val="20"/>
          <w:vertAlign w:val="subscript"/>
        </w:rPr>
        <w:t>1</w:t>
      </w:r>
      <w:r>
        <w:rPr>
          <w:sz w:val="20"/>
        </w:rPr>
        <w:t>, has occurred, we can update the assessed distribution to {</w:t>
      </w:r>
      <w:r w:rsidRPr="00EA002B">
        <w:rPr>
          <w:b/>
          <w:sz w:val="20"/>
        </w:rPr>
        <w:t>A</w:t>
      </w:r>
      <w:r>
        <w:rPr>
          <w:sz w:val="20"/>
        </w:rPr>
        <w:t>|b</w:t>
      </w:r>
      <w:r w:rsidRPr="00EA002B">
        <w:rPr>
          <w:sz w:val="20"/>
          <w:vertAlign w:val="subscript"/>
        </w:rPr>
        <w:t>1</w:t>
      </w:r>
      <w:r>
        <w:rPr>
          <w:sz w:val="20"/>
        </w:rPr>
        <w:t xml:space="preserve">, &amp;}.  If the newly assessed distribution </w:t>
      </w:r>
      <w:r w:rsidRPr="00EA002B">
        <w:rPr>
          <w:b/>
          <w:sz w:val="20"/>
        </w:rPr>
        <w:t>A</w:t>
      </w:r>
      <w:r>
        <w:rPr>
          <w:sz w:val="20"/>
        </w:rPr>
        <w:t xml:space="preserve"> is sensitive to the observation that b</w:t>
      </w:r>
      <w:r>
        <w:rPr>
          <w:sz w:val="20"/>
          <w:vertAlign w:val="subscript"/>
        </w:rPr>
        <w:t>1</w:t>
      </w:r>
      <w:r>
        <w:rPr>
          <w:sz w:val="20"/>
        </w:rPr>
        <w:t xml:space="preserve"> has occurred, this formally defines the notion that </w:t>
      </w:r>
      <w:r w:rsidRPr="00EA002B">
        <w:rPr>
          <w:b/>
          <w:sz w:val="20"/>
        </w:rPr>
        <w:t>B</w:t>
      </w:r>
      <w:r>
        <w:rPr>
          <w:sz w:val="20"/>
        </w:rPr>
        <w:t xml:space="preserve"> is relevant to </w:t>
      </w:r>
      <w:r w:rsidRPr="00EA002B">
        <w:rPr>
          <w:b/>
          <w:sz w:val="20"/>
        </w:rPr>
        <w:t>A</w:t>
      </w:r>
      <w:r>
        <w:rPr>
          <w:sz w:val="20"/>
        </w:rPr>
        <w:t>.</w:t>
      </w:r>
    </w:p>
  </w:footnote>
  <w:footnote w:id="7">
    <w:p w14:paraId="18CB3679" w14:textId="77777777" w:rsidR="00074ADD" w:rsidRPr="00B547C7" w:rsidRDefault="00074ADD" w:rsidP="00C53C3D">
      <w:pPr>
        <w:pStyle w:val="FootnoteText"/>
        <w:rPr>
          <w:sz w:val="20"/>
        </w:rPr>
      </w:pPr>
      <w:r>
        <w:rPr>
          <w:rStyle w:val="FootnoteReference"/>
        </w:rPr>
        <w:footnoteRef/>
      </w:r>
      <w:r>
        <w:t xml:space="preserve"> </w:t>
      </w:r>
      <w:r w:rsidRPr="00B547C7">
        <w:rPr>
          <w:sz w:val="20"/>
        </w:rPr>
        <w:t>A more technically precise way of saying this is that the chosen states satisfy the conditions of being mutually exclusive (only one can be true at any given time) and collectively exhaustive (any future event can be described as belonging to a particular state).</w:t>
      </w:r>
    </w:p>
  </w:footnote>
  <w:footnote w:id="8">
    <w:p w14:paraId="4D4424E1" w14:textId="6778F66C" w:rsidR="00074ADD" w:rsidRPr="00B9394E" w:rsidRDefault="00074ADD">
      <w:pPr>
        <w:pStyle w:val="FootnoteText"/>
        <w:rPr>
          <w:sz w:val="18"/>
          <w:szCs w:val="18"/>
        </w:rPr>
      </w:pPr>
      <w:r w:rsidRPr="00B9394E">
        <w:rPr>
          <w:rStyle w:val="FootnoteReference"/>
          <w:sz w:val="14"/>
        </w:rPr>
        <w:footnoteRef/>
      </w:r>
      <w:r w:rsidRPr="00B9394E">
        <w:rPr>
          <w:sz w:val="18"/>
        </w:rPr>
        <w:t xml:space="preserve"> </w:t>
      </w:r>
      <w:r>
        <w:rPr>
          <w:sz w:val="18"/>
        </w:rPr>
        <w:t>For the analogy between the</w:t>
      </w:r>
      <w:r w:rsidRPr="00B9394E">
        <w:rPr>
          <w:sz w:val="18"/>
        </w:rPr>
        <w:t xml:space="preserve"> linear additive vulnerability model and </w:t>
      </w:r>
      <w:r>
        <w:rPr>
          <w:sz w:val="18"/>
        </w:rPr>
        <w:t xml:space="preserve">a </w:t>
      </w:r>
      <w:r w:rsidRPr="00B9394E">
        <w:rPr>
          <w:sz w:val="18"/>
        </w:rPr>
        <w:t>linear additiv</w:t>
      </w:r>
      <w:r>
        <w:rPr>
          <w:sz w:val="18"/>
        </w:rPr>
        <w:t>e multi-attribute utility model</w:t>
      </w:r>
      <w:r w:rsidRPr="00B9394E">
        <w:rPr>
          <w:sz w:val="18"/>
        </w:rPr>
        <w:t xml:space="preserve">, in which vulnerability criteria scores act as utilities and the score aggregation </w:t>
      </w:r>
      <w:r w:rsidRPr="00B9394E">
        <w:rPr>
          <w:sz w:val="18"/>
          <w:szCs w:val="18"/>
        </w:rPr>
        <w:t xml:space="preserve">model acts as a utility model, see </w:t>
      </w:r>
      <w:proofErr w:type="spellStart"/>
      <w:r w:rsidRPr="00B9394E">
        <w:rPr>
          <w:sz w:val="18"/>
          <w:szCs w:val="18"/>
        </w:rPr>
        <w:t>Nelso</w:t>
      </w:r>
      <w:proofErr w:type="spellEnd"/>
      <w:r w:rsidRPr="00B9394E">
        <w:rPr>
          <w:sz w:val="18"/>
          <w:szCs w:val="18"/>
        </w:rPr>
        <w:t xml:space="preserve"> et al. (2009).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5B3AA" w14:textId="77777777" w:rsidR="00074ADD" w:rsidRDefault="00074ADD" w:rsidP="005A7BC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0A1E95" w14:textId="77777777" w:rsidR="00074ADD" w:rsidRDefault="00074AD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74D"/>
    <w:multiLevelType w:val="hybridMultilevel"/>
    <w:tmpl w:val="7756C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F4A14"/>
    <w:multiLevelType w:val="hybridMultilevel"/>
    <w:tmpl w:val="569AB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0861FB"/>
    <w:multiLevelType w:val="hybridMultilevel"/>
    <w:tmpl w:val="582E5508"/>
    <w:lvl w:ilvl="0" w:tplc="35F08D7E">
      <w:start w:val="634"/>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976A74"/>
    <w:multiLevelType w:val="hybridMultilevel"/>
    <w:tmpl w:val="67EE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61934"/>
    <w:multiLevelType w:val="hybridMultilevel"/>
    <w:tmpl w:val="50FE8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1F4A04"/>
    <w:multiLevelType w:val="hybridMultilevel"/>
    <w:tmpl w:val="75ACD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6239F4"/>
    <w:multiLevelType w:val="hybridMultilevel"/>
    <w:tmpl w:val="00E80A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B95BB0"/>
    <w:multiLevelType w:val="multilevel"/>
    <w:tmpl w:val="E1B0DA58"/>
    <w:lvl w:ilvl="0">
      <w:start w:val="1"/>
      <w:numFmt w:val="decimal"/>
      <w:lvlText w:val="%1."/>
      <w:lvlJc w:val="left"/>
      <w:pPr>
        <w:ind w:left="1440" w:hanging="360"/>
      </w:pPr>
      <w:rPr>
        <w:rFonts w:hint="default"/>
      </w:rPr>
    </w:lvl>
    <w:lvl w:ilvl="1">
      <w:start w:val="1"/>
      <w:numFmt w:val="decimal"/>
      <w:lvlText w:val="%2.1"/>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
    <w:nsid w:val="41DF395C"/>
    <w:multiLevelType w:val="multilevel"/>
    <w:tmpl w:val="619AC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D04046"/>
    <w:multiLevelType w:val="hybridMultilevel"/>
    <w:tmpl w:val="0DF01EB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156688"/>
    <w:multiLevelType w:val="hybridMultilevel"/>
    <w:tmpl w:val="58F65E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37F711E"/>
    <w:multiLevelType w:val="hybridMultilevel"/>
    <w:tmpl w:val="B6DE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FF4301"/>
    <w:multiLevelType w:val="hybridMultilevel"/>
    <w:tmpl w:val="682C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0220E6"/>
    <w:multiLevelType w:val="hybridMultilevel"/>
    <w:tmpl w:val="81E6EF92"/>
    <w:lvl w:ilvl="0" w:tplc="5C48B81A">
      <w:start w:val="1"/>
      <w:numFmt w:val="bullet"/>
      <w:lvlText w:val="•"/>
      <w:lvlJc w:val="left"/>
      <w:pPr>
        <w:tabs>
          <w:tab w:val="num" w:pos="720"/>
        </w:tabs>
        <w:ind w:left="720" w:hanging="360"/>
      </w:pPr>
      <w:rPr>
        <w:rFonts w:ascii="Arial" w:hAnsi="Arial" w:hint="default"/>
      </w:rPr>
    </w:lvl>
    <w:lvl w:ilvl="1" w:tplc="35F08D7E">
      <w:start w:val="634"/>
      <w:numFmt w:val="bullet"/>
      <w:lvlText w:val="–"/>
      <w:lvlJc w:val="left"/>
      <w:pPr>
        <w:tabs>
          <w:tab w:val="num" w:pos="1440"/>
        </w:tabs>
        <w:ind w:left="1440" w:hanging="360"/>
      </w:pPr>
      <w:rPr>
        <w:rFonts w:ascii="Arial" w:hAnsi="Arial" w:hint="default"/>
      </w:rPr>
    </w:lvl>
    <w:lvl w:ilvl="2" w:tplc="B2E446F8" w:tentative="1">
      <w:start w:val="1"/>
      <w:numFmt w:val="bullet"/>
      <w:lvlText w:val="•"/>
      <w:lvlJc w:val="left"/>
      <w:pPr>
        <w:tabs>
          <w:tab w:val="num" w:pos="2160"/>
        </w:tabs>
        <w:ind w:left="2160" w:hanging="360"/>
      </w:pPr>
      <w:rPr>
        <w:rFonts w:ascii="Arial" w:hAnsi="Arial" w:hint="default"/>
      </w:rPr>
    </w:lvl>
    <w:lvl w:ilvl="3" w:tplc="F8625524" w:tentative="1">
      <w:start w:val="1"/>
      <w:numFmt w:val="bullet"/>
      <w:lvlText w:val="•"/>
      <w:lvlJc w:val="left"/>
      <w:pPr>
        <w:tabs>
          <w:tab w:val="num" w:pos="2880"/>
        </w:tabs>
        <w:ind w:left="2880" w:hanging="360"/>
      </w:pPr>
      <w:rPr>
        <w:rFonts w:ascii="Arial" w:hAnsi="Arial" w:hint="default"/>
      </w:rPr>
    </w:lvl>
    <w:lvl w:ilvl="4" w:tplc="ADBE075E" w:tentative="1">
      <w:start w:val="1"/>
      <w:numFmt w:val="bullet"/>
      <w:lvlText w:val="•"/>
      <w:lvlJc w:val="left"/>
      <w:pPr>
        <w:tabs>
          <w:tab w:val="num" w:pos="3600"/>
        </w:tabs>
        <w:ind w:left="3600" w:hanging="360"/>
      </w:pPr>
      <w:rPr>
        <w:rFonts w:ascii="Arial" w:hAnsi="Arial" w:hint="default"/>
      </w:rPr>
    </w:lvl>
    <w:lvl w:ilvl="5" w:tplc="DA069288" w:tentative="1">
      <w:start w:val="1"/>
      <w:numFmt w:val="bullet"/>
      <w:lvlText w:val="•"/>
      <w:lvlJc w:val="left"/>
      <w:pPr>
        <w:tabs>
          <w:tab w:val="num" w:pos="4320"/>
        </w:tabs>
        <w:ind w:left="4320" w:hanging="360"/>
      </w:pPr>
      <w:rPr>
        <w:rFonts w:ascii="Arial" w:hAnsi="Arial" w:hint="default"/>
      </w:rPr>
    </w:lvl>
    <w:lvl w:ilvl="6" w:tplc="F5D2392C" w:tentative="1">
      <w:start w:val="1"/>
      <w:numFmt w:val="bullet"/>
      <w:lvlText w:val="•"/>
      <w:lvlJc w:val="left"/>
      <w:pPr>
        <w:tabs>
          <w:tab w:val="num" w:pos="5040"/>
        </w:tabs>
        <w:ind w:left="5040" w:hanging="360"/>
      </w:pPr>
      <w:rPr>
        <w:rFonts w:ascii="Arial" w:hAnsi="Arial" w:hint="default"/>
      </w:rPr>
    </w:lvl>
    <w:lvl w:ilvl="7" w:tplc="D550F2EC" w:tentative="1">
      <w:start w:val="1"/>
      <w:numFmt w:val="bullet"/>
      <w:lvlText w:val="•"/>
      <w:lvlJc w:val="left"/>
      <w:pPr>
        <w:tabs>
          <w:tab w:val="num" w:pos="5760"/>
        </w:tabs>
        <w:ind w:left="5760" w:hanging="360"/>
      </w:pPr>
      <w:rPr>
        <w:rFonts w:ascii="Arial" w:hAnsi="Arial" w:hint="default"/>
      </w:rPr>
    </w:lvl>
    <w:lvl w:ilvl="8" w:tplc="E7BCADEE" w:tentative="1">
      <w:start w:val="1"/>
      <w:numFmt w:val="bullet"/>
      <w:lvlText w:val="•"/>
      <w:lvlJc w:val="left"/>
      <w:pPr>
        <w:tabs>
          <w:tab w:val="num" w:pos="6480"/>
        </w:tabs>
        <w:ind w:left="6480" w:hanging="360"/>
      </w:pPr>
      <w:rPr>
        <w:rFonts w:ascii="Arial" w:hAnsi="Arial" w:hint="default"/>
      </w:rPr>
    </w:lvl>
  </w:abstractNum>
  <w:abstractNum w:abstractNumId="14">
    <w:nsid w:val="700000F9"/>
    <w:multiLevelType w:val="hybridMultilevel"/>
    <w:tmpl w:val="DC40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6A0D28"/>
    <w:multiLevelType w:val="hybridMultilevel"/>
    <w:tmpl w:val="B364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2D1BF7"/>
    <w:multiLevelType w:val="hybridMultilevel"/>
    <w:tmpl w:val="208A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11"/>
  </w:num>
  <w:num w:numId="5">
    <w:abstractNumId w:val="9"/>
  </w:num>
  <w:num w:numId="6">
    <w:abstractNumId w:val="3"/>
  </w:num>
  <w:num w:numId="7">
    <w:abstractNumId w:val="10"/>
  </w:num>
  <w:num w:numId="8">
    <w:abstractNumId w:val="14"/>
  </w:num>
  <w:num w:numId="9">
    <w:abstractNumId w:val="13"/>
  </w:num>
  <w:num w:numId="10">
    <w:abstractNumId w:val="16"/>
  </w:num>
  <w:num w:numId="11">
    <w:abstractNumId w:val="6"/>
  </w:num>
  <w:num w:numId="12">
    <w:abstractNumId w:val="15"/>
  </w:num>
  <w:num w:numId="13">
    <w:abstractNumId w:val="4"/>
  </w:num>
  <w:num w:numId="14">
    <w:abstractNumId w:val="0"/>
  </w:num>
  <w:num w:numId="15">
    <w:abstractNumId w:val="5"/>
  </w:num>
  <w:num w:numId="16">
    <w:abstractNumId w:val="12"/>
  </w:num>
  <w:num w:numId="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5E3"/>
    <w:rsid w:val="00000465"/>
    <w:rsid w:val="00000D8F"/>
    <w:rsid w:val="000016F5"/>
    <w:rsid w:val="0000320F"/>
    <w:rsid w:val="000032EB"/>
    <w:rsid w:val="00003D28"/>
    <w:rsid w:val="00004022"/>
    <w:rsid w:val="00004171"/>
    <w:rsid w:val="000042DB"/>
    <w:rsid w:val="0000542A"/>
    <w:rsid w:val="0000625B"/>
    <w:rsid w:val="0000697D"/>
    <w:rsid w:val="00006B83"/>
    <w:rsid w:val="00007985"/>
    <w:rsid w:val="0001042E"/>
    <w:rsid w:val="00010461"/>
    <w:rsid w:val="00010D1F"/>
    <w:rsid w:val="00013C3D"/>
    <w:rsid w:val="000158CF"/>
    <w:rsid w:val="00015C6D"/>
    <w:rsid w:val="00015C73"/>
    <w:rsid w:val="00015F9B"/>
    <w:rsid w:val="00016E49"/>
    <w:rsid w:val="00016EC1"/>
    <w:rsid w:val="00017EC2"/>
    <w:rsid w:val="0002043B"/>
    <w:rsid w:val="00021A97"/>
    <w:rsid w:val="0002251D"/>
    <w:rsid w:val="0002307E"/>
    <w:rsid w:val="00023228"/>
    <w:rsid w:val="00023B42"/>
    <w:rsid w:val="00023DD9"/>
    <w:rsid w:val="00023E32"/>
    <w:rsid w:val="000242F2"/>
    <w:rsid w:val="0002450C"/>
    <w:rsid w:val="0002508A"/>
    <w:rsid w:val="00025434"/>
    <w:rsid w:val="00025D9D"/>
    <w:rsid w:val="000265F9"/>
    <w:rsid w:val="00026C22"/>
    <w:rsid w:val="00026E75"/>
    <w:rsid w:val="00031637"/>
    <w:rsid w:val="0003204F"/>
    <w:rsid w:val="00032767"/>
    <w:rsid w:val="00032B72"/>
    <w:rsid w:val="00033922"/>
    <w:rsid w:val="00033A50"/>
    <w:rsid w:val="0003452B"/>
    <w:rsid w:val="00035807"/>
    <w:rsid w:val="00036DC0"/>
    <w:rsid w:val="000375BA"/>
    <w:rsid w:val="00040498"/>
    <w:rsid w:val="00040CBE"/>
    <w:rsid w:val="000447F2"/>
    <w:rsid w:val="00045C64"/>
    <w:rsid w:val="000469C3"/>
    <w:rsid w:val="0004797A"/>
    <w:rsid w:val="00047DF3"/>
    <w:rsid w:val="0005293D"/>
    <w:rsid w:val="00052A8E"/>
    <w:rsid w:val="00052E79"/>
    <w:rsid w:val="0005456F"/>
    <w:rsid w:val="0005518F"/>
    <w:rsid w:val="00057649"/>
    <w:rsid w:val="00060FA6"/>
    <w:rsid w:val="00063342"/>
    <w:rsid w:val="00064772"/>
    <w:rsid w:val="00065E25"/>
    <w:rsid w:val="0006633C"/>
    <w:rsid w:val="00066E60"/>
    <w:rsid w:val="00067675"/>
    <w:rsid w:val="000676A4"/>
    <w:rsid w:val="00070285"/>
    <w:rsid w:val="00071052"/>
    <w:rsid w:val="00071956"/>
    <w:rsid w:val="0007288C"/>
    <w:rsid w:val="000747B5"/>
    <w:rsid w:val="00074ADD"/>
    <w:rsid w:val="00075638"/>
    <w:rsid w:val="0007567C"/>
    <w:rsid w:val="0008096C"/>
    <w:rsid w:val="000809D3"/>
    <w:rsid w:val="00080CA7"/>
    <w:rsid w:val="00082AFB"/>
    <w:rsid w:val="00084941"/>
    <w:rsid w:val="00085033"/>
    <w:rsid w:val="00085AFC"/>
    <w:rsid w:val="00086650"/>
    <w:rsid w:val="00086A77"/>
    <w:rsid w:val="00086B87"/>
    <w:rsid w:val="000873F5"/>
    <w:rsid w:val="000874FA"/>
    <w:rsid w:val="0009122E"/>
    <w:rsid w:val="00091F85"/>
    <w:rsid w:val="000937EE"/>
    <w:rsid w:val="00093A53"/>
    <w:rsid w:val="00094D18"/>
    <w:rsid w:val="000960AE"/>
    <w:rsid w:val="00096572"/>
    <w:rsid w:val="00096C25"/>
    <w:rsid w:val="00097193"/>
    <w:rsid w:val="00097F4F"/>
    <w:rsid w:val="00097FB4"/>
    <w:rsid w:val="000A1A7E"/>
    <w:rsid w:val="000A2BE9"/>
    <w:rsid w:val="000A4C2E"/>
    <w:rsid w:val="000A4C9C"/>
    <w:rsid w:val="000A5416"/>
    <w:rsid w:val="000A559C"/>
    <w:rsid w:val="000A572D"/>
    <w:rsid w:val="000A592A"/>
    <w:rsid w:val="000A6A2D"/>
    <w:rsid w:val="000A7420"/>
    <w:rsid w:val="000B0133"/>
    <w:rsid w:val="000B0B81"/>
    <w:rsid w:val="000B0F76"/>
    <w:rsid w:val="000B138E"/>
    <w:rsid w:val="000B1C5F"/>
    <w:rsid w:val="000B1E92"/>
    <w:rsid w:val="000B223B"/>
    <w:rsid w:val="000B2BC4"/>
    <w:rsid w:val="000B2F97"/>
    <w:rsid w:val="000B4136"/>
    <w:rsid w:val="000B5248"/>
    <w:rsid w:val="000B569C"/>
    <w:rsid w:val="000B5FA8"/>
    <w:rsid w:val="000B6E81"/>
    <w:rsid w:val="000C00EE"/>
    <w:rsid w:val="000C08C9"/>
    <w:rsid w:val="000C15CE"/>
    <w:rsid w:val="000C16BF"/>
    <w:rsid w:val="000C176D"/>
    <w:rsid w:val="000C1DCF"/>
    <w:rsid w:val="000C31EC"/>
    <w:rsid w:val="000C38B0"/>
    <w:rsid w:val="000C5A20"/>
    <w:rsid w:val="000C5F99"/>
    <w:rsid w:val="000C66C1"/>
    <w:rsid w:val="000C6881"/>
    <w:rsid w:val="000C6A11"/>
    <w:rsid w:val="000C70EA"/>
    <w:rsid w:val="000D18EF"/>
    <w:rsid w:val="000D2A1D"/>
    <w:rsid w:val="000D2EE7"/>
    <w:rsid w:val="000D47FD"/>
    <w:rsid w:val="000D4D0B"/>
    <w:rsid w:val="000D57B8"/>
    <w:rsid w:val="000D6A0C"/>
    <w:rsid w:val="000D6A2C"/>
    <w:rsid w:val="000D76C7"/>
    <w:rsid w:val="000D7DF7"/>
    <w:rsid w:val="000E02E1"/>
    <w:rsid w:val="000E0B73"/>
    <w:rsid w:val="000E1A1F"/>
    <w:rsid w:val="000E232F"/>
    <w:rsid w:val="000E234F"/>
    <w:rsid w:val="000E2E5F"/>
    <w:rsid w:val="000E3100"/>
    <w:rsid w:val="000E3F4B"/>
    <w:rsid w:val="000E57FB"/>
    <w:rsid w:val="000E5BC3"/>
    <w:rsid w:val="000E5E71"/>
    <w:rsid w:val="000E7847"/>
    <w:rsid w:val="000E7FDA"/>
    <w:rsid w:val="000F179C"/>
    <w:rsid w:val="000F2982"/>
    <w:rsid w:val="000F2ADF"/>
    <w:rsid w:val="000F2CE3"/>
    <w:rsid w:val="000F3F1A"/>
    <w:rsid w:val="000F5289"/>
    <w:rsid w:val="000F6C8D"/>
    <w:rsid w:val="000F6E5A"/>
    <w:rsid w:val="0010165E"/>
    <w:rsid w:val="00101910"/>
    <w:rsid w:val="00103F40"/>
    <w:rsid w:val="00104B3A"/>
    <w:rsid w:val="00107710"/>
    <w:rsid w:val="00107B73"/>
    <w:rsid w:val="00107ED5"/>
    <w:rsid w:val="00110EC7"/>
    <w:rsid w:val="00112ECC"/>
    <w:rsid w:val="00113C9A"/>
    <w:rsid w:val="00113DBD"/>
    <w:rsid w:val="001149B8"/>
    <w:rsid w:val="00115418"/>
    <w:rsid w:val="001155CB"/>
    <w:rsid w:val="00115DA1"/>
    <w:rsid w:val="00116928"/>
    <w:rsid w:val="00117391"/>
    <w:rsid w:val="00117C48"/>
    <w:rsid w:val="00120CDA"/>
    <w:rsid w:val="00121581"/>
    <w:rsid w:val="001215BB"/>
    <w:rsid w:val="00122596"/>
    <w:rsid w:val="00122ABA"/>
    <w:rsid w:val="0012313E"/>
    <w:rsid w:val="0012397C"/>
    <w:rsid w:val="00124321"/>
    <w:rsid w:val="00124831"/>
    <w:rsid w:val="00127744"/>
    <w:rsid w:val="00127749"/>
    <w:rsid w:val="00127C23"/>
    <w:rsid w:val="001304EF"/>
    <w:rsid w:val="001305D4"/>
    <w:rsid w:val="00130E5B"/>
    <w:rsid w:val="001323D5"/>
    <w:rsid w:val="001332D3"/>
    <w:rsid w:val="0013377D"/>
    <w:rsid w:val="00133B34"/>
    <w:rsid w:val="00133D41"/>
    <w:rsid w:val="001345CA"/>
    <w:rsid w:val="001350C6"/>
    <w:rsid w:val="00135BED"/>
    <w:rsid w:val="00135C23"/>
    <w:rsid w:val="001361C7"/>
    <w:rsid w:val="00136E8C"/>
    <w:rsid w:val="00137F08"/>
    <w:rsid w:val="001408FD"/>
    <w:rsid w:val="00141FA9"/>
    <w:rsid w:val="00142169"/>
    <w:rsid w:val="0014246D"/>
    <w:rsid w:val="0014262B"/>
    <w:rsid w:val="001430B2"/>
    <w:rsid w:val="00144D8F"/>
    <w:rsid w:val="0014659B"/>
    <w:rsid w:val="00147597"/>
    <w:rsid w:val="00147A3D"/>
    <w:rsid w:val="00152EE0"/>
    <w:rsid w:val="00152F81"/>
    <w:rsid w:val="001533A0"/>
    <w:rsid w:val="00153AD9"/>
    <w:rsid w:val="0015414C"/>
    <w:rsid w:val="001541FC"/>
    <w:rsid w:val="001546C0"/>
    <w:rsid w:val="001551B0"/>
    <w:rsid w:val="00155539"/>
    <w:rsid w:val="00155C08"/>
    <w:rsid w:val="0015615C"/>
    <w:rsid w:val="0016022C"/>
    <w:rsid w:val="001610D7"/>
    <w:rsid w:val="0016314D"/>
    <w:rsid w:val="0016328C"/>
    <w:rsid w:val="00165FEA"/>
    <w:rsid w:val="0016698B"/>
    <w:rsid w:val="00167149"/>
    <w:rsid w:val="00167A97"/>
    <w:rsid w:val="00170F34"/>
    <w:rsid w:val="00171B98"/>
    <w:rsid w:val="00172964"/>
    <w:rsid w:val="00172CF0"/>
    <w:rsid w:val="001736D2"/>
    <w:rsid w:val="001738CD"/>
    <w:rsid w:val="001762CD"/>
    <w:rsid w:val="00177168"/>
    <w:rsid w:val="001775A4"/>
    <w:rsid w:val="00177B58"/>
    <w:rsid w:val="0018010F"/>
    <w:rsid w:val="00180521"/>
    <w:rsid w:val="001814E8"/>
    <w:rsid w:val="00182610"/>
    <w:rsid w:val="001828D1"/>
    <w:rsid w:val="00182AC1"/>
    <w:rsid w:val="0018416C"/>
    <w:rsid w:val="00185651"/>
    <w:rsid w:val="00186378"/>
    <w:rsid w:val="0018775A"/>
    <w:rsid w:val="00190A91"/>
    <w:rsid w:val="00191033"/>
    <w:rsid w:val="00191A56"/>
    <w:rsid w:val="00191C92"/>
    <w:rsid w:val="00191F0F"/>
    <w:rsid w:val="00192FFC"/>
    <w:rsid w:val="00193B6E"/>
    <w:rsid w:val="00194E37"/>
    <w:rsid w:val="001973F3"/>
    <w:rsid w:val="001A02B5"/>
    <w:rsid w:val="001A13E5"/>
    <w:rsid w:val="001A373A"/>
    <w:rsid w:val="001A4041"/>
    <w:rsid w:val="001A5268"/>
    <w:rsid w:val="001A5844"/>
    <w:rsid w:val="001A595A"/>
    <w:rsid w:val="001A5E3F"/>
    <w:rsid w:val="001B00C0"/>
    <w:rsid w:val="001B1265"/>
    <w:rsid w:val="001B197D"/>
    <w:rsid w:val="001B1BD1"/>
    <w:rsid w:val="001B1E99"/>
    <w:rsid w:val="001B2507"/>
    <w:rsid w:val="001B25B3"/>
    <w:rsid w:val="001B2831"/>
    <w:rsid w:val="001B39F3"/>
    <w:rsid w:val="001B5109"/>
    <w:rsid w:val="001B51D2"/>
    <w:rsid w:val="001B5B25"/>
    <w:rsid w:val="001B68EC"/>
    <w:rsid w:val="001B6CC1"/>
    <w:rsid w:val="001B6F56"/>
    <w:rsid w:val="001B723C"/>
    <w:rsid w:val="001B7332"/>
    <w:rsid w:val="001B73A5"/>
    <w:rsid w:val="001C01F2"/>
    <w:rsid w:val="001C07DB"/>
    <w:rsid w:val="001C1C21"/>
    <w:rsid w:val="001C1C6D"/>
    <w:rsid w:val="001C1E64"/>
    <w:rsid w:val="001C269A"/>
    <w:rsid w:val="001C2ADA"/>
    <w:rsid w:val="001C3A82"/>
    <w:rsid w:val="001C3DD3"/>
    <w:rsid w:val="001C3F88"/>
    <w:rsid w:val="001C428E"/>
    <w:rsid w:val="001C433D"/>
    <w:rsid w:val="001C62F0"/>
    <w:rsid w:val="001C7485"/>
    <w:rsid w:val="001D1E5B"/>
    <w:rsid w:val="001D2F5C"/>
    <w:rsid w:val="001D5EB8"/>
    <w:rsid w:val="001D6967"/>
    <w:rsid w:val="001D771C"/>
    <w:rsid w:val="001D7EA5"/>
    <w:rsid w:val="001E1E4F"/>
    <w:rsid w:val="001E2660"/>
    <w:rsid w:val="001E3CFC"/>
    <w:rsid w:val="001E3D15"/>
    <w:rsid w:val="001E6229"/>
    <w:rsid w:val="001E7BA0"/>
    <w:rsid w:val="001F0494"/>
    <w:rsid w:val="001F16D0"/>
    <w:rsid w:val="001F1C28"/>
    <w:rsid w:val="001F2647"/>
    <w:rsid w:val="001F2E1A"/>
    <w:rsid w:val="001F4F2B"/>
    <w:rsid w:val="001F519D"/>
    <w:rsid w:val="001F54A0"/>
    <w:rsid w:val="001F5D7B"/>
    <w:rsid w:val="002004B2"/>
    <w:rsid w:val="00201FA6"/>
    <w:rsid w:val="0020225B"/>
    <w:rsid w:val="0020373D"/>
    <w:rsid w:val="00204FDE"/>
    <w:rsid w:val="002054A3"/>
    <w:rsid w:val="0020770F"/>
    <w:rsid w:val="002115EE"/>
    <w:rsid w:val="002125DC"/>
    <w:rsid w:val="0021359D"/>
    <w:rsid w:val="00213B4B"/>
    <w:rsid w:val="0021441E"/>
    <w:rsid w:val="002147C4"/>
    <w:rsid w:val="00215016"/>
    <w:rsid w:val="00215EE9"/>
    <w:rsid w:val="0021666A"/>
    <w:rsid w:val="00217536"/>
    <w:rsid w:val="002175A0"/>
    <w:rsid w:val="00220875"/>
    <w:rsid w:val="00220EC8"/>
    <w:rsid w:val="00221E2F"/>
    <w:rsid w:val="00223E8F"/>
    <w:rsid w:val="00224C93"/>
    <w:rsid w:val="00224D13"/>
    <w:rsid w:val="0022501E"/>
    <w:rsid w:val="00226021"/>
    <w:rsid w:val="002266B4"/>
    <w:rsid w:val="0023102E"/>
    <w:rsid w:val="002315D9"/>
    <w:rsid w:val="002319E0"/>
    <w:rsid w:val="00231EA3"/>
    <w:rsid w:val="0023230B"/>
    <w:rsid w:val="00232618"/>
    <w:rsid w:val="0023263C"/>
    <w:rsid w:val="00232BF6"/>
    <w:rsid w:val="00234412"/>
    <w:rsid w:val="00234A31"/>
    <w:rsid w:val="00234D98"/>
    <w:rsid w:val="00235E7C"/>
    <w:rsid w:val="002363F4"/>
    <w:rsid w:val="00236901"/>
    <w:rsid w:val="0023719E"/>
    <w:rsid w:val="00237CE8"/>
    <w:rsid w:val="002400E3"/>
    <w:rsid w:val="0024137A"/>
    <w:rsid w:val="00241B89"/>
    <w:rsid w:val="002430E9"/>
    <w:rsid w:val="002435A7"/>
    <w:rsid w:val="00243804"/>
    <w:rsid w:val="00243A5F"/>
    <w:rsid w:val="00244297"/>
    <w:rsid w:val="00244878"/>
    <w:rsid w:val="00245429"/>
    <w:rsid w:val="002458C0"/>
    <w:rsid w:val="00245C3C"/>
    <w:rsid w:val="00246495"/>
    <w:rsid w:val="002465D5"/>
    <w:rsid w:val="00246D75"/>
    <w:rsid w:val="0025303F"/>
    <w:rsid w:val="002533D9"/>
    <w:rsid w:val="002542C5"/>
    <w:rsid w:val="00255235"/>
    <w:rsid w:val="00256C7A"/>
    <w:rsid w:val="00257AB2"/>
    <w:rsid w:val="00257DB4"/>
    <w:rsid w:val="00260A70"/>
    <w:rsid w:val="00260EE7"/>
    <w:rsid w:val="00260FDF"/>
    <w:rsid w:val="0026231F"/>
    <w:rsid w:val="002628FE"/>
    <w:rsid w:val="002639B0"/>
    <w:rsid w:val="0026478C"/>
    <w:rsid w:val="00265608"/>
    <w:rsid w:val="00265DD2"/>
    <w:rsid w:val="00266AD5"/>
    <w:rsid w:val="002704DF"/>
    <w:rsid w:val="002711E1"/>
    <w:rsid w:val="002719FB"/>
    <w:rsid w:val="0027475C"/>
    <w:rsid w:val="00274DC0"/>
    <w:rsid w:val="00275ADF"/>
    <w:rsid w:val="00276982"/>
    <w:rsid w:val="00277CF3"/>
    <w:rsid w:val="00280120"/>
    <w:rsid w:val="0028040F"/>
    <w:rsid w:val="00281649"/>
    <w:rsid w:val="002837E9"/>
    <w:rsid w:val="00283B8A"/>
    <w:rsid w:val="00284A3C"/>
    <w:rsid w:val="00285255"/>
    <w:rsid w:val="00285550"/>
    <w:rsid w:val="002860B9"/>
    <w:rsid w:val="00286E2A"/>
    <w:rsid w:val="00286FDE"/>
    <w:rsid w:val="0029056D"/>
    <w:rsid w:val="0029127E"/>
    <w:rsid w:val="00292087"/>
    <w:rsid w:val="00295485"/>
    <w:rsid w:val="00296199"/>
    <w:rsid w:val="00296946"/>
    <w:rsid w:val="00297FF7"/>
    <w:rsid w:val="002A0BCA"/>
    <w:rsid w:val="002A212B"/>
    <w:rsid w:val="002A2B0C"/>
    <w:rsid w:val="002A5BC9"/>
    <w:rsid w:val="002A5DEF"/>
    <w:rsid w:val="002A69EA"/>
    <w:rsid w:val="002A6C3D"/>
    <w:rsid w:val="002B048B"/>
    <w:rsid w:val="002B0C13"/>
    <w:rsid w:val="002B1335"/>
    <w:rsid w:val="002B4689"/>
    <w:rsid w:val="002B473A"/>
    <w:rsid w:val="002B48BC"/>
    <w:rsid w:val="002B4C3A"/>
    <w:rsid w:val="002B584F"/>
    <w:rsid w:val="002B5E74"/>
    <w:rsid w:val="002B63E2"/>
    <w:rsid w:val="002B665F"/>
    <w:rsid w:val="002B66A5"/>
    <w:rsid w:val="002C06EB"/>
    <w:rsid w:val="002C10A0"/>
    <w:rsid w:val="002C125F"/>
    <w:rsid w:val="002C1835"/>
    <w:rsid w:val="002C1AFF"/>
    <w:rsid w:val="002C2E6E"/>
    <w:rsid w:val="002C30DF"/>
    <w:rsid w:val="002C3511"/>
    <w:rsid w:val="002C42B7"/>
    <w:rsid w:val="002C4A40"/>
    <w:rsid w:val="002C62F9"/>
    <w:rsid w:val="002D11B9"/>
    <w:rsid w:val="002D2AC4"/>
    <w:rsid w:val="002D368C"/>
    <w:rsid w:val="002D377F"/>
    <w:rsid w:val="002D3E19"/>
    <w:rsid w:val="002D411A"/>
    <w:rsid w:val="002D44A8"/>
    <w:rsid w:val="002D481F"/>
    <w:rsid w:val="002D5007"/>
    <w:rsid w:val="002D670D"/>
    <w:rsid w:val="002D6F78"/>
    <w:rsid w:val="002E04C4"/>
    <w:rsid w:val="002E14A3"/>
    <w:rsid w:val="002E1825"/>
    <w:rsid w:val="002E1E83"/>
    <w:rsid w:val="002E2147"/>
    <w:rsid w:val="002E2488"/>
    <w:rsid w:val="002E42F0"/>
    <w:rsid w:val="002E5064"/>
    <w:rsid w:val="002E7B6F"/>
    <w:rsid w:val="002F0CA8"/>
    <w:rsid w:val="002F22FF"/>
    <w:rsid w:val="002F2EF9"/>
    <w:rsid w:val="003002CB"/>
    <w:rsid w:val="003006DA"/>
    <w:rsid w:val="00302C06"/>
    <w:rsid w:val="00304267"/>
    <w:rsid w:val="00305EEC"/>
    <w:rsid w:val="003061F1"/>
    <w:rsid w:val="00307495"/>
    <w:rsid w:val="0031015A"/>
    <w:rsid w:val="00310327"/>
    <w:rsid w:val="00310B9B"/>
    <w:rsid w:val="00311267"/>
    <w:rsid w:val="00311919"/>
    <w:rsid w:val="003124E8"/>
    <w:rsid w:val="003126C4"/>
    <w:rsid w:val="00312836"/>
    <w:rsid w:val="00312B50"/>
    <w:rsid w:val="00312E32"/>
    <w:rsid w:val="00313A0B"/>
    <w:rsid w:val="00313CAD"/>
    <w:rsid w:val="00314756"/>
    <w:rsid w:val="00314AB0"/>
    <w:rsid w:val="00315A6D"/>
    <w:rsid w:val="00315CCB"/>
    <w:rsid w:val="00316F9A"/>
    <w:rsid w:val="0031721A"/>
    <w:rsid w:val="003177EE"/>
    <w:rsid w:val="00317BAB"/>
    <w:rsid w:val="0032165E"/>
    <w:rsid w:val="003229E1"/>
    <w:rsid w:val="0032385F"/>
    <w:rsid w:val="00324F4F"/>
    <w:rsid w:val="0032509E"/>
    <w:rsid w:val="003256B5"/>
    <w:rsid w:val="003265C1"/>
    <w:rsid w:val="00327AA0"/>
    <w:rsid w:val="003311D0"/>
    <w:rsid w:val="003312F3"/>
    <w:rsid w:val="003321D9"/>
    <w:rsid w:val="003334D9"/>
    <w:rsid w:val="00333F61"/>
    <w:rsid w:val="00334866"/>
    <w:rsid w:val="003353BC"/>
    <w:rsid w:val="00341347"/>
    <w:rsid w:val="003419A8"/>
    <w:rsid w:val="00341E30"/>
    <w:rsid w:val="00343BB4"/>
    <w:rsid w:val="00343CE0"/>
    <w:rsid w:val="00343FE0"/>
    <w:rsid w:val="00347872"/>
    <w:rsid w:val="003505B9"/>
    <w:rsid w:val="00350AC4"/>
    <w:rsid w:val="00351AAE"/>
    <w:rsid w:val="00351ECE"/>
    <w:rsid w:val="003536EF"/>
    <w:rsid w:val="003566E1"/>
    <w:rsid w:val="00357A17"/>
    <w:rsid w:val="003601BD"/>
    <w:rsid w:val="00360DB9"/>
    <w:rsid w:val="00361186"/>
    <w:rsid w:val="00361727"/>
    <w:rsid w:val="003621FC"/>
    <w:rsid w:val="003625E9"/>
    <w:rsid w:val="00362F09"/>
    <w:rsid w:val="00362F16"/>
    <w:rsid w:val="00363C66"/>
    <w:rsid w:val="00363C89"/>
    <w:rsid w:val="00363CD2"/>
    <w:rsid w:val="0036578B"/>
    <w:rsid w:val="0036709E"/>
    <w:rsid w:val="003670EA"/>
    <w:rsid w:val="00367F08"/>
    <w:rsid w:val="003711E2"/>
    <w:rsid w:val="003713BC"/>
    <w:rsid w:val="0037148F"/>
    <w:rsid w:val="00373F39"/>
    <w:rsid w:val="003749D5"/>
    <w:rsid w:val="003755DE"/>
    <w:rsid w:val="003758DF"/>
    <w:rsid w:val="003759E9"/>
    <w:rsid w:val="00376462"/>
    <w:rsid w:val="00376DBA"/>
    <w:rsid w:val="0037727E"/>
    <w:rsid w:val="00377645"/>
    <w:rsid w:val="00377650"/>
    <w:rsid w:val="00381108"/>
    <w:rsid w:val="0038134A"/>
    <w:rsid w:val="0038173D"/>
    <w:rsid w:val="003818B4"/>
    <w:rsid w:val="00382264"/>
    <w:rsid w:val="00384EE1"/>
    <w:rsid w:val="00386801"/>
    <w:rsid w:val="00387134"/>
    <w:rsid w:val="003901EB"/>
    <w:rsid w:val="00391183"/>
    <w:rsid w:val="00391678"/>
    <w:rsid w:val="00392BBE"/>
    <w:rsid w:val="00392D5F"/>
    <w:rsid w:val="00393E0B"/>
    <w:rsid w:val="00394218"/>
    <w:rsid w:val="00394B20"/>
    <w:rsid w:val="00394BA9"/>
    <w:rsid w:val="00394CA6"/>
    <w:rsid w:val="00395992"/>
    <w:rsid w:val="00395B44"/>
    <w:rsid w:val="003973CF"/>
    <w:rsid w:val="00397B57"/>
    <w:rsid w:val="003A07EB"/>
    <w:rsid w:val="003A0C35"/>
    <w:rsid w:val="003A0E7C"/>
    <w:rsid w:val="003A148F"/>
    <w:rsid w:val="003A1E98"/>
    <w:rsid w:val="003A2A62"/>
    <w:rsid w:val="003A2A73"/>
    <w:rsid w:val="003A4A34"/>
    <w:rsid w:val="003A5CEC"/>
    <w:rsid w:val="003A5E8A"/>
    <w:rsid w:val="003A6845"/>
    <w:rsid w:val="003A73C8"/>
    <w:rsid w:val="003B1215"/>
    <w:rsid w:val="003B2157"/>
    <w:rsid w:val="003B22E6"/>
    <w:rsid w:val="003B2BA8"/>
    <w:rsid w:val="003B3971"/>
    <w:rsid w:val="003B3C9B"/>
    <w:rsid w:val="003B51BC"/>
    <w:rsid w:val="003B5569"/>
    <w:rsid w:val="003B78CE"/>
    <w:rsid w:val="003B7E20"/>
    <w:rsid w:val="003B7F89"/>
    <w:rsid w:val="003C2E94"/>
    <w:rsid w:val="003C2F52"/>
    <w:rsid w:val="003C463A"/>
    <w:rsid w:val="003C490E"/>
    <w:rsid w:val="003C4B84"/>
    <w:rsid w:val="003C5024"/>
    <w:rsid w:val="003C53E6"/>
    <w:rsid w:val="003C7174"/>
    <w:rsid w:val="003D0095"/>
    <w:rsid w:val="003D0722"/>
    <w:rsid w:val="003D15E3"/>
    <w:rsid w:val="003D3864"/>
    <w:rsid w:val="003D39D5"/>
    <w:rsid w:val="003D4151"/>
    <w:rsid w:val="003D422C"/>
    <w:rsid w:val="003D43D9"/>
    <w:rsid w:val="003D6E2C"/>
    <w:rsid w:val="003D7517"/>
    <w:rsid w:val="003E09D5"/>
    <w:rsid w:val="003E1DC5"/>
    <w:rsid w:val="003E40C6"/>
    <w:rsid w:val="003E4287"/>
    <w:rsid w:val="003E7EC2"/>
    <w:rsid w:val="003F0C8F"/>
    <w:rsid w:val="003F103B"/>
    <w:rsid w:val="003F19A6"/>
    <w:rsid w:val="003F210E"/>
    <w:rsid w:val="003F226B"/>
    <w:rsid w:val="003F282C"/>
    <w:rsid w:val="003F2A0D"/>
    <w:rsid w:val="003F2A10"/>
    <w:rsid w:val="003F313F"/>
    <w:rsid w:val="003F33B0"/>
    <w:rsid w:val="003F3829"/>
    <w:rsid w:val="003F4CE6"/>
    <w:rsid w:val="003F58BD"/>
    <w:rsid w:val="003F631A"/>
    <w:rsid w:val="003F6E9D"/>
    <w:rsid w:val="003F7325"/>
    <w:rsid w:val="003F758C"/>
    <w:rsid w:val="004007C9"/>
    <w:rsid w:val="00401C91"/>
    <w:rsid w:val="0040229A"/>
    <w:rsid w:val="00402FC3"/>
    <w:rsid w:val="004050E8"/>
    <w:rsid w:val="0040586A"/>
    <w:rsid w:val="004059A8"/>
    <w:rsid w:val="00405BB0"/>
    <w:rsid w:val="00406B53"/>
    <w:rsid w:val="00406E5D"/>
    <w:rsid w:val="0040724B"/>
    <w:rsid w:val="00407772"/>
    <w:rsid w:val="00407E40"/>
    <w:rsid w:val="00407F74"/>
    <w:rsid w:val="00410164"/>
    <w:rsid w:val="0041066A"/>
    <w:rsid w:val="00412B62"/>
    <w:rsid w:val="00412BB7"/>
    <w:rsid w:val="00413D7A"/>
    <w:rsid w:val="00413DCB"/>
    <w:rsid w:val="00413FB3"/>
    <w:rsid w:val="00414A41"/>
    <w:rsid w:val="00414B20"/>
    <w:rsid w:val="0041506A"/>
    <w:rsid w:val="004162D8"/>
    <w:rsid w:val="00416B67"/>
    <w:rsid w:val="004172A4"/>
    <w:rsid w:val="00417D1E"/>
    <w:rsid w:val="00421181"/>
    <w:rsid w:val="00422762"/>
    <w:rsid w:val="00422A68"/>
    <w:rsid w:val="00423348"/>
    <w:rsid w:val="0042465E"/>
    <w:rsid w:val="00424A53"/>
    <w:rsid w:val="004259CC"/>
    <w:rsid w:val="004262B8"/>
    <w:rsid w:val="00427ECF"/>
    <w:rsid w:val="004306D1"/>
    <w:rsid w:val="004308A5"/>
    <w:rsid w:val="004312E0"/>
    <w:rsid w:val="00431635"/>
    <w:rsid w:val="00435AC7"/>
    <w:rsid w:val="00436050"/>
    <w:rsid w:val="004369DC"/>
    <w:rsid w:val="004372F2"/>
    <w:rsid w:val="00440C95"/>
    <w:rsid w:val="00441D66"/>
    <w:rsid w:val="00442095"/>
    <w:rsid w:val="00442FBE"/>
    <w:rsid w:val="00443A1E"/>
    <w:rsid w:val="00444F6A"/>
    <w:rsid w:val="004460C0"/>
    <w:rsid w:val="00447E55"/>
    <w:rsid w:val="0045018B"/>
    <w:rsid w:val="004515AE"/>
    <w:rsid w:val="004517DA"/>
    <w:rsid w:val="0045398D"/>
    <w:rsid w:val="00453D08"/>
    <w:rsid w:val="004553ED"/>
    <w:rsid w:val="0045704F"/>
    <w:rsid w:val="00457182"/>
    <w:rsid w:val="00457971"/>
    <w:rsid w:val="00461528"/>
    <w:rsid w:val="00461BC0"/>
    <w:rsid w:val="004621A5"/>
    <w:rsid w:val="004628F3"/>
    <w:rsid w:val="0046415D"/>
    <w:rsid w:val="004643D7"/>
    <w:rsid w:val="004644F4"/>
    <w:rsid w:val="004662D4"/>
    <w:rsid w:val="00466469"/>
    <w:rsid w:val="0046714A"/>
    <w:rsid w:val="004704B1"/>
    <w:rsid w:val="0047060E"/>
    <w:rsid w:val="00470A1D"/>
    <w:rsid w:val="00471E70"/>
    <w:rsid w:val="00472C7E"/>
    <w:rsid w:val="00472DA3"/>
    <w:rsid w:val="0047401C"/>
    <w:rsid w:val="004772B3"/>
    <w:rsid w:val="004772EE"/>
    <w:rsid w:val="0048130E"/>
    <w:rsid w:val="004815E6"/>
    <w:rsid w:val="00481A2A"/>
    <w:rsid w:val="00481B55"/>
    <w:rsid w:val="004821D3"/>
    <w:rsid w:val="0048222B"/>
    <w:rsid w:val="00482D42"/>
    <w:rsid w:val="004834AF"/>
    <w:rsid w:val="004834F0"/>
    <w:rsid w:val="00484565"/>
    <w:rsid w:val="00484840"/>
    <w:rsid w:val="004850DF"/>
    <w:rsid w:val="00485C5A"/>
    <w:rsid w:val="00485D63"/>
    <w:rsid w:val="004863E5"/>
    <w:rsid w:val="00486ACF"/>
    <w:rsid w:val="00486FB0"/>
    <w:rsid w:val="00487CF8"/>
    <w:rsid w:val="00487EFF"/>
    <w:rsid w:val="00490B2F"/>
    <w:rsid w:val="004925AB"/>
    <w:rsid w:val="00492BDF"/>
    <w:rsid w:val="00492C10"/>
    <w:rsid w:val="004944E7"/>
    <w:rsid w:val="004949BE"/>
    <w:rsid w:val="00495565"/>
    <w:rsid w:val="004955F9"/>
    <w:rsid w:val="00495A2C"/>
    <w:rsid w:val="00495C93"/>
    <w:rsid w:val="004A3192"/>
    <w:rsid w:val="004A3443"/>
    <w:rsid w:val="004A42C4"/>
    <w:rsid w:val="004A4CC2"/>
    <w:rsid w:val="004A55B0"/>
    <w:rsid w:val="004A74DB"/>
    <w:rsid w:val="004B048E"/>
    <w:rsid w:val="004B0F54"/>
    <w:rsid w:val="004B11F7"/>
    <w:rsid w:val="004B185A"/>
    <w:rsid w:val="004B27AD"/>
    <w:rsid w:val="004B3C43"/>
    <w:rsid w:val="004B4434"/>
    <w:rsid w:val="004B5432"/>
    <w:rsid w:val="004B5466"/>
    <w:rsid w:val="004B5503"/>
    <w:rsid w:val="004B5BFA"/>
    <w:rsid w:val="004B6591"/>
    <w:rsid w:val="004B762A"/>
    <w:rsid w:val="004B7A0C"/>
    <w:rsid w:val="004C0AD3"/>
    <w:rsid w:val="004C0C29"/>
    <w:rsid w:val="004C177B"/>
    <w:rsid w:val="004C232C"/>
    <w:rsid w:val="004C2C0B"/>
    <w:rsid w:val="004C358E"/>
    <w:rsid w:val="004C4341"/>
    <w:rsid w:val="004C48CA"/>
    <w:rsid w:val="004C6988"/>
    <w:rsid w:val="004C6B88"/>
    <w:rsid w:val="004C6D94"/>
    <w:rsid w:val="004C78D1"/>
    <w:rsid w:val="004D1952"/>
    <w:rsid w:val="004D1CF5"/>
    <w:rsid w:val="004D4378"/>
    <w:rsid w:val="004D6344"/>
    <w:rsid w:val="004D68BC"/>
    <w:rsid w:val="004D71BD"/>
    <w:rsid w:val="004D7210"/>
    <w:rsid w:val="004D724A"/>
    <w:rsid w:val="004E0E85"/>
    <w:rsid w:val="004E2B52"/>
    <w:rsid w:val="004E2D96"/>
    <w:rsid w:val="004E36B5"/>
    <w:rsid w:val="004E51CA"/>
    <w:rsid w:val="004E7CE1"/>
    <w:rsid w:val="004F092B"/>
    <w:rsid w:val="004F0BE9"/>
    <w:rsid w:val="004F0FAC"/>
    <w:rsid w:val="004F1E12"/>
    <w:rsid w:val="004F1E74"/>
    <w:rsid w:val="004F2090"/>
    <w:rsid w:val="004F25D3"/>
    <w:rsid w:val="004F3277"/>
    <w:rsid w:val="004F3B7E"/>
    <w:rsid w:val="004F5B36"/>
    <w:rsid w:val="004F5E56"/>
    <w:rsid w:val="004F6E3E"/>
    <w:rsid w:val="004F7E4E"/>
    <w:rsid w:val="00500E03"/>
    <w:rsid w:val="00501B4D"/>
    <w:rsid w:val="00501E3E"/>
    <w:rsid w:val="005028BA"/>
    <w:rsid w:val="00502B12"/>
    <w:rsid w:val="00502DF0"/>
    <w:rsid w:val="00502FD5"/>
    <w:rsid w:val="00503196"/>
    <w:rsid w:val="00504090"/>
    <w:rsid w:val="00504895"/>
    <w:rsid w:val="00504958"/>
    <w:rsid w:val="00505295"/>
    <w:rsid w:val="00505C8C"/>
    <w:rsid w:val="005060C8"/>
    <w:rsid w:val="005060DB"/>
    <w:rsid w:val="005071D5"/>
    <w:rsid w:val="00507CE4"/>
    <w:rsid w:val="00510FDA"/>
    <w:rsid w:val="00511BE9"/>
    <w:rsid w:val="00511C05"/>
    <w:rsid w:val="00512C25"/>
    <w:rsid w:val="00513EF9"/>
    <w:rsid w:val="00513FA8"/>
    <w:rsid w:val="005146BA"/>
    <w:rsid w:val="00514D96"/>
    <w:rsid w:val="0051575B"/>
    <w:rsid w:val="005175FE"/>
    <w:rsid w:val="00522637"/>
    <w:rsid w:val="005227AA"/>
    <w:rsid w:val="00524528"/>
    <w:rsid w:val="00525599"/>
    <w:rsid w:val="00525840"/>
    <w:rsid w:val="00526D93"/>
    <w:rsid w:val="005270F7"/>
    <w:rsid w:val="00527DD7"/>
    <w:rsid w:val="005301A2"/>
    <w:rsid w:val="005305BD"/>
    <w:rsid w:val="00530779"/>
    <w:rsid w:val="00531BFD"/>
    <w:rsid w:val="00531E62"/>
    <w:rsid w:val="00532157"/>
    <w:rsid w:val="0053246D"/>
    <w:rsid w:val="005325BB"/>
    <w:rsid w:val="005356C3"/>
    <w:rsid w:val="00535DAD"/>
    <w:rsid w:val="00536DCC"/>
    <w:rsid w:val="0053704F"/>
    <w:rsid w:val="005402B1"/>
    <w:rsid w:val="00540E0D"/>
    <w:rsid w:val="00541DFA"/>
    <w:rsid w:val="00541F48"/>
    <w:rsid w:val="00543F07"/>
    <w:rsid w:val="005454F0"/>
    <w:rsid w:val="00550039"/>
    <w:rsid w:val="005511E3"/>
    <w:rsid w:val="005515BD"/>
    <w:rsid w:val="00551CAA"/>
    <w:rsid w:val="0055330F"/>
    <w:rsid w:val="00553794"/>
    <w:rsid w:val="00554881"/>
    <w:rsid w:val="00554AC0"/>
    <w:rsid w:val="00554CAD"/>
    <w:rsid w:val="00555929"/>
    <w:rsid w:val="0055617A"/>
    <w:rsid w:val="00560D82"/>
    <w:rsid w:val="00561F8B"/>
    <w:rsid w:val="00563E9F"/>
    <w:rsid w:val="005641A4"/>
    <w:rsid w:val="00564B2A"/>
    <w:rsid w:val="00564E55"/>
    <w:rsid w:val="005661EE"/>
    <w:rsid w:val="00567464"/>
    <w:rsid w:val="0056770F"/>
    <w:rsid w:val="00567B35"/>
    <w:rsid w:val="0057090A"/>
    <w:rsid w:val="005710A1"/>
    <w:rsid w:val="005714A8"/>
    <w:rsid w:val="005735F5"/>
    <w:rsid w:val="005736D8"/>
    <w:rsid w:val="00574CE2"/>
    <w:rsid w:val="0057549F"/>
    <w:rsid w:val="00575DD7"/>
    <w:rsid w:val="005763FA"/>
    <w:rsid w:val="00576906"/>
    <w:rsid w:val="005770B5"/>
    <w:rsid w:val="00577DFD"/>
    <w:rsid w:val="00580365"/>
    <w:rsid w:val="00582C25"/>
    <w:rsid w:val="00583C90"/>
    <w:rsid w:val="00583FC1"/>
    <w:rsid w:val="0058649F"/>
    <w:rsid w:val="00590A47"/>
    <w:rsid w:val="00590ED0"/>
    <w:rsid w:val="0059209B"/>
    <w:rsid w:val="0059274F"/>
    <w:rsid w:val="00593561"/>
    <w:rsid w:val="0059369E"/>
    <w:rsid w:val="00593E1F"/>
    <w:rsid w:val="0059472D"/>
    <w:rsid w:val="00594AFB"/>
    <w:rsid w:val="00596323"/>
    <w:rsid w:val="005966FB"/>
    <w:rsid w:val="005970A0"/>
    <w:rsid w:val="005A057C"/>
    <w:rsid w:val="005A06F1"/>
    <w:rsid w:val="005A0F2B"/>
    <w:rsid w:val="005A1010"/>
    <w:rsid w:val="005A125B"/>
    <w:rsid w:val="005A2A36"/>
    <w:rsid w:val="005A39D5"/>
    <w:rsid w:val="005A43AD"/>
    <w:rsid w:val="005A526E"/>
    <w:rsid w:val="005A55FE"/>
    <w:rsid w:val="005A5913"/>
    <w:rsid w:val="005A629B"/>
    <w:rsid w:val="005A686E"/>
    <w:rsid w:val="005A7BC9"/>
    <w:rsid w:val="005B033D"/>
    <w:rsid w:val="005B07F5"/>
    <w:rsid w:val="005B0DC7"/>
    <w:rsid w:val="005B1E36"/>
    <w:rsid w:val="005B2A48"/>
    <w:rsid w:val="005B2AE5"/>
    <w:rsid w:val="005B2EE4"/>
    <w:rsid w:val="005B30F1"/>
    <w:rsid w:val="005B31B0"/>
    <w:rsid w:val="005B43E2"/>
    <w:rsid w:val="005B4945"/>
    <w:rsid w:val="005B4A9E"/>
    <w:rsid w:val="005B556E"/>
    <w:rsid w:val="005B5B4C"/>
    <w:rsid w:val="005B76CD"/>
    <w:rsid w:val="005B7B87"/>
    <w:rsid w:val="005B7F04"/>
    <w:rsid w:val="005C18C6"/>
    <w:rsid w:val="005C1C44"/>
    <w:rsid w:val="005C20E3"/>
    <w:rsid w:val="005C2D75"/>
    <w:rsid w:val="005C4BC9"/>
    <w:rsid w:val="005C50DC"/>
    <w:rsid w:val="005C587A"/>
    <w:rsid w:val="005C5C91"/>
    <w:rsid w:val="005C6126"/>
    <w:rsid w:val="005C738F"/>
    <w:rsid w:val="005C7E91"/>
    <w:rsid w:val="005D1233"/>
    <w:rsid w:val="005D21C6"/>
    <w:rsid w:val="005D3B2D"/>
    <w:rsid w:val="005D48D6"/>
    <w:rsid w:val="005D50FA"/>
    <w:rsid w:val="005D56C7"/>
    <w:rsid w:val="005D63AB"/>
    <w:rsid w:val="005D7C6F"/>
    <w:rsid w:val="005E0096"/>
    <w:rsid w:val="005E04C9"/>
    <w:rsid w:val="005E0EB7"/>
    <w:rsid w:val="005E1017"/>
    <w:rsid w:val="005E2514"/>
    <w:rsid w:val="005E4BE9"/>
    <w:rsid w:val="005E6ADA"/>
    <w:rsid w:val="005E7302"/>
    <w:rsid w:val="005E7BEA"/>
    <w:rsid w:val="005F1BD5"/>
    <w:rsid w:val="005F3BE2"/>
    <w:rsid w:val="005F41F7"/>
    <w:rsid w:val="005F55A1"/>
    <w:rsid w:val="005F68C8"/>
    <w:rsid w:val="005F6B4B"/>
    <w:rsid w:val="005F6D2E"/>
    <w:rsid w:val="005F7BFE"/>
    <w:rsid w:val="006015A7"/>
    <w:rsid w:val="006016EA"/>
    <w:rsid w:val="00601D8D"/>
    <w:rsid w:val="006026D7"/>
    <w:rsid w:val="006038A2"/>
    <w:rsid w:val="006039E8"/>
    <w:rsid w:val="0060505A"/>
    <w:rsid w:val="00607762"/>
    <w:rsid w:val="006101E4"/>
    <w:rsid w:val="00610299"/>
    <w:rsid w:val="006128FF"/>
    <w:rsid w:val="00613EBF"/>
    <w:rsid w:val="006140DB"/>
    <w:rsid w:val="006147F5"/>
    <w:rsid w:val="00614B66"/>
    <w:rsid w:val="00614F27"/>
    <w:rsid w:val="006157DC"/>
    <w:rsid w:val="00616063"/>
    <w:rsid w:val="00616D22"/>
    <w:rsid w:val="006201C0"/>
    <w:rsid w:val="00620F10"/>
    <w:rsid w:val="00622032"/>
    <w:rsid w:val="006227D7"/>
    <w:rsid w:val="00622945"/>
    <w:rsid w:val="00622E2F"/>
    <w:rsid w:val="006237C3"/>
    <w:rsid w:val="00623840"/>
    <w:rsid w:val="00623F8E"/>
    <w:rsid w:val="00624A43"/>
    <w:rsid w:val="00624F7A"/>
    <w:rsid w:val="00624FCA"/>
    <w:rsid w:val="00625363"/>
    <w:rsid w:val="0062623E"/>
    <w:rsid w:val="0062624B"/>
    <w:rsid w:val="00626C5C"/>
    <w:rsid w:val="00626F15"/>
    <w:rsid w:val="0062759D"/>
    <w:rsid w:val="00631162"/>
    <w:rsid w:val="00632B71"/>
    <w:rsid w:val="00633D4D"/>
    <w:rsid w:val="00635784"/>
    <w:rsid w:val="00635FE1"/>
    <w:rsid w:val="00637E7F"/>
    <w:rsid w:val="00640DC8"/>
    <w:rsid w:val="006415A3"/>
    <w:rsid w:val="006418DF"/>
    <w:rsid w:val="00642267"/>
    <w:rsid w:val="006433B4"/>
    <w:rsid w:val="00643780"/>
    <w:rsid w:val="00643D03"/>
    <w:rsid w:val="006445C8"/>
    <w:rsid w:val="00644CAE"/>
    <w:rsid w:val="006464FE"/>
    <w:rsid w:val="00650441"/>
    <w:rsid w:val="00650E84"/>
    <w:rsid w:val="006512A3"/>
    <w:rsid w:val="006526FE"/>
    <w:rsid w:val="00652B8B"/>
    <w:rsid w:val="006541A7"/>
    <w:rsid w:val="00654496"/>
    <w:rsid w:val="00654B0E"/>
    <w:rsid w:val="006558C5"/>
    <w:rsid w:val="00655F63"/>
    <w:rsid w:val="00656877"/>
    <w:rsid w:val="00657AF8"/>
    <w:rsid w:val="00657B1E"/>
    <w:rsid w:val="00657D72"/>
    <w:rsid w:val="00661299"/>
    <w:rsid w:val="0066152D"/>
    <w:rsid w:val="006633E5"/>
    <w:rsid w:val="00663434"/>
    <w:rsid w:val="0066425C"/>
    <w:rsid w:val="00664C7F"/>
    <w:rsid w:val="00665A34"/>
    <w:rsid w:val="00665DEE"/>
    <w:rsid w:val="006660F3"/>
    <w:rsid w:val="00666BED"/>
    <w:rsid w:val="00667196"/>
    <w:rsid w:val="00667F8E"/>
    <w:rsid w:val="00671194"/>
    <w:rsid w:val="00671814"/>
    <w:rsid w:val="00671D09"/>
    <w:rsid w:val="0067379E"/>
    <w:rsid w:val="00673B10"/>
    <w:rsid w:val="00674ED1"/>
    <w:rsid w:val="0067522B"/>
    <w:rsid w:val="00675FDC"/>
    <w:rsid w:val="00675FE8"/>
    <w:rsid w:val="00676D87"/>
    <w:rsid w:val="00676F66"/>
    <w:rsid w:val="00677051"/>
    <w:rsid w:val="00677C81"/>
    <w:rsid w:val="0068066E"/>
    <w:rsid w:val="006816BB"/>
    <w:rsid w:val="00681964"/>
    <w:rsid w:val="00681A3E"/>
    <w:rsid w:val="00681E93"/>
    <w:rsid w:val="00684164"/>
    <w:rsid w:val="00685794"/>
    <w:rsid w:val="006859B3"/>
    <w:rsid w:val="00685C95"/>
    <w:rsid w:val="006863ED"/>
    <w:rsid w:val="00687A23"/>
    <w:rsid w:val="00687DC6"/>
    <w:rsid w:val="00690040"/>
    <w:rsid w:val="00691C22"/>
    <w:rsid w:val="00692004"/>
    <w:rsid w:val="00692C99"/>
    <w:rsid w:val="006933CF"/>
    <w:rsid w:val="006961F5"/>
    <w:rsid w:val="00696F9E"/>
    <w:rsid w:val="00697204"/>
    <w:rsid w:val="00697425"/>
    <w:rsid w:val="006A0FE5"/>
    <w:rsid w:val="006A2D93"/>
    <w:rsid w:val="006A6E96"/>
    <w:rsid w:val="006B2049"/>
    <w:rsid w:val="006B24A4"/>
    <w:rsid w:val="006B3271"/>
    <w:rsid w:val="006B3487"/>
    <w:rsid w:val="006B399C"/>
    <w:rsid w:val="006B3F5C"/>
    <w:rsid w:val="006B497F"/>
    <w:rsid w:val="006B5837"/>
    <w:rsid w:val="006B5BB3"/>
    <w:rsid w:val="006B5EBD"/>
    <w:rsid w:val="006C041A"/>
    <w:rsid w:val="006C065A"/>
    <w:rsid w:val="006C2117"/>
    <w:rsid w:val="006C2556"/>
    <w:rsid w:val="006C2590"/>
    <w:rsid w:val="006C32A9"/>
    <w:rsid w:val="006C4F7B"/>
    <w:rsid w:val="006C5C91"/>
    <w:rsid w:val="006C611F"/>
    <w:rsid w:val="006C64F5"/>
    <w:rsid w:val="006D18D0"/>
    <w:rsid w:val="006D1DB2"/>
    <w:rsid w:val="006D3361"/>
    <w:rsid w:val="006D5DDF"/>
    <w:rsid w:val="006D72D8"/>
    <w:rsid w:val="006D7B0C"/>
    <w:rsid w:val="006E00BA"/>
    <w:rsid w:val="006E0705"/>
    <w:rsid w:val="006E0BA8"/>
    <w:rsid w:val="006E2168"/>
    <w:rsid w:val="006E275F"/>
    <w:rsid w:val="006E27C8"/>
    <w:rsid w:val="006E494B"/>
    <w:rsid w:val="006E4B6C"/>
    <w:rsid w:val="006E57A0"/>
    <w:rsid w:val="006E6D0C"/>
    <w:rsid w:val="006F0CE7"/>
    <w:rsid w:val="006F0E8D"/>
    <w:rsid w:val="006F11CE"/>
    <w:rsid w:val="006F2DD3"/>
    <w:rsid w:val="006F3709"/>
    <w:rsid w:val="006F44F2"/>
    <w:rsid w:val="006F5313"/>
    <w:rsid w:val="006F5616"/>
    <w:rsid w:val="006F6E04"/>
    <w:rsid w:val="006F72A6"/>
    <w:rsid w:val="006F73EF"/>
    <w:rsid w:val="006F798D"/>
    <w:rsid w:val="006F7B3A"/>
    <w:rsid w:val="007016F9"/>
    <w:rsid w:val="00701C07"/>
    <w:rsid w:val="0070240C"/>
    <w:rsid w:val="007025CC"/>
    <w:rsid w:val="007042A0"/>
    <w:rsid w:val="0070478C"/>
    <w:rsid w:val="00705C97"/>
    <w:rsid w:val="00707B54"/>
    <w:rsid w:val="0071008A"/>
    <w:rsid w:val="007109EE"/>
    <w:rsid w:val="00710E34"/>
    <w:rsid w:val="00712495"/>
    <w:rsid w:val="00715968"/>
    <w:rsid w:val="00717673"/>
    <w:rsid w:val="00720000"/>
    <w:rsid w:val="007205EC"/>
    <w:rsid w:val="007206E9"/>
    <w:rsid w:val="00720A19"/>
    <w:rsid w:val="00720DFE"/>
    <w:rsid w:val="00721161"/>
    <w:rsid w:val="00721CF6"/>
    <w:rsid w:val="00722022"/>
    <w:rsid w:val="00722DFB"/>
    <w:rsid w:val="00722ED2"/>
    <w:rsid w:val="007230B6"/>
    <w:rsid w:val="00723502"/>
    <w:rsid w:val="00723817"/>
    <w:rsid w:val="00724D7A"/>
    <w:rsid w:val="007269BF"/>
    <w:rsid w:val="00726E07"/>
    <w:rsid w:val="0072786B"/>
    <w:rsid w:val="00730CBA"/>
    <w:rsid w:val="0073106E"/>
    <w:rsid w:val="00732C85"/>
    <w:rsid w:val="00733246"/>
    <w:rsid w:val="00733F67"/>
    <w:rsid w:val="00736530"/>
    <w:rsid w:val="0073791E"/>
    <w:rsid w:val="00740613"/>
    <w:rsid w:val="00742B77"/>
    <w:rsid w:val="00742E16"/>
    <w:rsid w:val="007445B8"/>
    <w:rsid w:val="007459CA"/>
    <w:rsid w:val="00745A65"/>
    <w:rsid w:val="007460DB"/>
    <w:rsid w:val="00746403"/>
    <w:rsid w:val="00746991"/>
    <w:rsid w:val="00747BA7"/>
    <w:rsid w:val="007505F4"/>
    <w:rsid w:val="007506CE"/>
    <w:rsid w:val="00750E02"/>
    <w:rsid w:val="00750E6C"/>
    <w:rsid w:val="00751390"/>
    <w:rsid w:val="00751455"/>
    <w:rsid w:val="007515D1"/>
    <w:rsid w:val="00753C6C"/>
    <w:rsid w:val="007543FF"/>
    <w:rsid w:val="007568EB"/>
    <w:rsid w:val="007569AD"/>
    <w:rsid w:val="00757143"/>
    <w:rsid w:val="00757D8E"/>
    <w:rsid w:val="00760182"/>
    <w:rsid w:val="0076066C"/>
    <w:rsid w:val="00762E76"/>
    <w:rsid w:val="007645B5"/>
    <w:rsid w:val="00764A6B"/>
    <w:rsid w:val="00766340"/>
    <w:rsid w:val="007663EE"/>
    <w:rsid w:val="007668F0"/>
    <w:rsid w:val="00766B9A"/>
    <w:rsid w:val="007674D6"/>
    <w:rsid w:val="00767EA0"/>
    <w:rsid w:val="007714A9"/>
    <w:rsid w:val="00772CFA"/>
    <w:rsid w:val="007741BE"/>
    <w:rsid w:val="00774DFA"/>
    <w:rsid w:val="00774E1B"/>
    <w:rsid w:val="00775E38"/>
    <w:rsid w:val="00775F9D"/>
    <w:rsid w:val="007760BF"/>
    <w:rsid w:val="00776983"/>
    <w:rsid w:val="007807C3"/>
    <w:rsid w:val="00780D63"/>
    <w:rsid w:val="00781163"/>
    <w:rsid w:val="007819D3"/>
    <w:rsid w:val="00781B8A"/>
    <w:rsid w:val="00784495"/>
    <w:rsid w:val="0078497C"/>
    <w:rsid w:val="007860F0"/>
    <w:rsid w:val="007865F6"/>
    <w:rsid w:val="00786D68"/>
    <w:rsid w:val="00790B3A"/>
    <w:rsid w:val="00791395"/>
    <w:rsid w:val="0079176B"/>
    <w:rsid w:val="00792382"/>
    <w:rsid w:val="0079293F"/>
    <w:rsid w:val="00792C19"/>
    <w:rsid w:val="00793170"/>
    <w:rsid w:val="00793CAA"/>
    <w:rsid w:val="00793F19"/>
    <w:rsid w:val="007957FF"/>
    <w:rsid w:val="00796BE0"/>
    <w:rsid w:val="007A1991"/>
    <w:rsid w:val="007A1A7A"/>
    <w:rsid w:val="007A1E58"/>
    <w:rsid w:val="007A1EA3"/>
    <w:rsid w:val="007A311C"/>
    <w:rsid w:val="007A369A"/>
    <w:rsid w:val="007A52F5"/>
    <w:rsid w:val="007A5649"/>
    <w:rsid w:val="007A58E4"/>
    <w:rsid w:val="007A5B7A"/>
    <w:rsid w:val="007A638C"/>
    <w:rsid w:val="007A6806"/>
    <w:rsid w:val="007A6A2C"/>
    <w:rsid w:val="007A7ECF"/>
    <w:rsid w:val="007B09BC"/>
    <w:rsid w:val="007B111A"/>
    <w:rsid w:val="007B17D1"/>
    <w:rsid w:val="007B2FC4"/>
    <w:rsid w:val="007B309A"/>
    <w:rsid w:val="007B37FC"/>
    <w:rsid w:val="007B4B19"/>
    <w:rsid w:val="007B6403"/>
    <w:rsid w:val="007C2F52"/>
    <w:rsid w:val="007C3245"/>
    <w:rsid w:val="007C3682"/>
    <w:rsid w:val="007C447A"/>
    <w:rsid w:val="007C49B2"/>
    <w:rsid w:val="007C512E"/>
    <w:rsid w:val="007C64B4"/>
    <w:rsid w:val="007C66AD"/>
    <w:rsid w:val="007D0E3E"/>
    <w:rsid w:val="007D60E5"/>
    <w:rsid w:val="007D6D82"/>
    <w:rsid w:val="007D7EEE"/>
    <w:rsid w:val="007E0A47"/>
    <w:rsid w:val="007E18F9"/>
    <w:rsid w:val="007E210A"/>
    <w:rsid w:val="007E4142"/>
    <w:rsid w:val="007E4609"/>
    <w:rsid w:val="007E47EA"/>
    <w:rsid w:val="007E53AE"/>
    <w:rsid w:val="007E540E"/>
    <w:rsid w:val="007E54B9"/>
    <w:rsid w:val="007E628E"/>
    <w:rsid w:val="007F05B1"/>
    <w:rsid w:val="007F2946"/>
    <w:rsid w:val="007F32E5"/>
    <w:rsid w:val="007F3437"/>
    <w:rsid w:val="007F37F6"/>
    <w:rsid w:val="007F3FF5"/>
    <w:rsid w:val="007F5158"/>
    <w:rsid w:val="007F519C"/>
    <w:rsid w:val="007F58C0"/>
    <w:rsid w:val="007F6C98"/>
    <w:rsid w:val="007F6CA3"/>
    <w:rsid w:val="007F722E"/>
    <w:rsid w:val="007F7F5B"/>
    <w:rsid w:val="008005E3"/>
    <w:rsid w:val="00800ACC"/>
    <w:rsid w:val="00802235"/>
    <w:rsid w:val="0080306A"/>
    <w:rsid w:val="00805890"/>
    <w:rsid w:val="00805C89"/>
    <w:rsid w:val="008104D4"/>
    <w:rsid w:val="00810B8A"/>
    <w:rsid w:val="008127FD"/>
    <w:rsid w:val="0081329A"/>
    <w:rsid w:val="00814AE8"/>
    <w:rsid w:val="00815255"/>
    <w:rsid w:val="00820592"/>
    <w:rsid w:val="00822474"/>
    <w:rsid w:val="008229DB"/>
    <w:rsid w:val="008236B4"/>
    <w:rsid w:val="008244D0"/>
    <w:rsid w:val="00824FBD"/>
    <w:rsid w:val="00825558"/>
    <w:rsid w:val="00825F12"/>
    <w:rsid w:val="0082671B"/>
    <w:rsid w:val="00826781"/>
    <w:rsid w:val="00827C30"/>
    <w:rsid w:val="00827CDE"/>
    <w:rsid w:val="00827D25"/>
    <w:rsid w:val="00827E19"/>
    <w:rsid w:val="00830C7F"/>
    <w:rsid w:val="00834AD6"/>
    <w:rsid w:val="00834B02"/>
    <w:rsid w:val="00835159"/>
    <w:rsid w:val="00836A95"/>
    <w:rsid w:val="00837A43"/>
    <w:rsid w:val="00840E49"/>
    <w:rsid w:val="00840FA8"/>
    <w:rsid w:val="008415C6"/>
    <w:rsid w:val="00842CE3"/>
    <w:rsid w:val="008430A4"/>
    <w:rsid w:val="008435D4"/>
    <w:rsid w:val="0084452A"/>
    <w:rsid w:val="00845966"/>
    <w:rsid w:val="00846E53"/>
    <w:rsid w:val="00847196"/>
    <w:rsid w:val="00847662"/>
    <w:rsid w:val="00847A75"/>
    <w:rsid w:val="00847AB0"/>
    <w:rsid w:val="00847EEE"/>
    <w:rsid w:val="008506B8"/>
    <w:rsid w:val="00851362"/>
    <w:rsid w:val="00851928"/>
    <w:rsid w:val="00851C73"/>
    <w:rsid w:val="00851F0C"/>
    <w:rsid w:val="008531B9"/>
    <w:rsid w:val="00853E80"/>
    <w:rsid w:val="00854C32"/>
    <w:rsid w:val="00854E63"/>
    <w:rsid w:val="0085581D"/>
    <w:rsid w:val="00856279"/>
    <w:rsid w:val="00856F95"/>
    <w:rsid w:val="00857BCE"/>
    <w:rsid w:val="00857EAA"/>
    <w:rsid w:val="00861A7A"/>
    <w:rsid w:val="0086237F"/>
    <w:rsid w:val="00863CFB"/>
    <w:rsid w:val="008647B1"/>
    <w:rsid w:val="008650B3"/>
    <w:rsid w:val="008650BC"/>
    <w:rsid w:val="00865D0F"/>
    <w:rsid w:val="00865D80"/>
    <w:rsid w:val="008715CF"/>
    <w:rsid w:val="008724B5"/>
    <w:rsid w:val="00876B3E"/>
    <w:rsid w:val="008770D0"/>
    <w:rsid w:val="00880182"/>
    <w:rsid w:val="00880855"/>
    <w:rsid w:val="00881E5C"/>
    <w:rsid w:val="008827D9"/>
    <w:rsid w:val="00882BE8"/>
    <w:rsid w:val="00883DAB"/>
    <w:rsid w:val="0088529D"/>
    <w:rsid w:val="00885B87"/>
    <w:rsid w:val="00886C06"/>
    <w:rsid w:val="00887025"/>
    <w:rsid w:val="008903C8"/>
    <w:rsid w:val="00891F21"/>
    <w:rsid w:val="0089213E"/>
    <w:rsid w:val="00892B1F"/>
    <w:rsid w:val="00892D05"/>
    <w:rsid w:val="00894398"/>
    <w:rsid w:val="00894454"/>
    <w:rsid w:val="008972AD"/>
    <w:rsid w:val="008A1250"/>
    <w:rsid w:val="008A2606"/>
    <w:rsid w:val="008A4183"/>
    <w:rsid w:val="008A423D"/>
    <w:rsid w:val="008A6013"/>
    <w:rsid w:val="008A6B24"/>
    <w:rsid w:val="008A7056"/>
    <w:rsid w:val="008B0051"/>
    <w:rsid w:val="008B0276"/>
    <w:rsid w:val="008B0506"/>
    <w:rsid w:val="008B266F"/>
    <w:rsid w:val="008B4A4E"/>
    <w:rsid w:val="008B544B"/>
    <w:rsid w:val="008B5939"/>
    <w:rsid w:val="008B65DA"/>
    <w:rsid w:val="008B79A1"/>
    <w:rsid w:val="008C1065"/>
    <w:rsid w:val="008C2126"/>
    <w:rsid w:val="008C2EB9"/>
    <w:rsid w:val="008C3619"/>
    <w:rsid w:val="008C5383"/>
    <w:rsid w:val="008C557A"/>
    <w:rsid w:val="008C624F"/>
    <w:rsid w:val="008C6538"/>
    <w:rsid w:val="008D0278"/>
    <w:rsid w:val="008D0E09"/>
    <w:rsid w:val="008D14FB"/>
    <w:rsid w:val="008D1751"/>
    <w:rsid w:val="008D289B"/>
    <w:rsid w:val="008D2CE0"/>
    <w:rsid w:val="008D3950"/>
    <w:rsid w:val="008D41A7"/>
    <w:rsid w:val="008D5799"/>
    <w:rsid w:val="008D5EE3"/>
    <w:rsid w:val="008D6600"/>
    <w:rsid w:val="008D794B"/>
    <w:rsid w:val="008D7A39"/>
    <w:rsid w:val="008E00BC"/>
    <w:rsid w:val="008E0543"/>
    <w:rsid w:val="008E07F6"/>
    <w:rsid w:val="008E0C1B"/>
    <w:rsid w:val="008E0CCC"/>
    <w:rsid w:val="008E22E4"/>
    <w:rsid w:val="008E2B98"/>
    <w:rsid w:val="008E2F29"/>
    <w:rsid w:val="008E54FB"/>
    <w:rsid w:val="008E5837"/>
    <w:rsid w:val="008F06F7"/>
    <w:rsid w:val="008F09E5"/>
    <w:rsid w:val="008F0F16"/>
    <w:rsid w:val="008F1C15"/>
    <w:rsid w:val="008F30C7"/>
    <w:rsid w:val="008F3344"/>
    <w:rsid w:val="008F474A"/>
    <w:rsid w:val="008F5064"/>
    <w:rsid w:val="008F54AE"/>
    <w:rsid w:val="008F5AAF"/>
    <w:rsid w:val="008F60A8"/>
    <w:rsid w:val="008F6243"/>
    <w:rsid w:val="00900E2C"/>
    <w:rsid w:val="009013A9"/>
    <w:rsid w:val="00903319"/>
    <w:rsid w:val="00904407"/>
    <w:rsid w:val="00904B1E"/>
    <w:rsid w:val="00904D19"/>
    <w:rsid w:val="00904E54"/>
    <w:rsid w:val="0090526F"/>
    <w:rsid w:val="00905CFC"/>
    <w:rsid w:val="00906227"/>
    <w:rsid w:val="00907B24"/>
    <w:rsid w:val="00907B29"/>
    <w:rsid w:val="009115EA"/>
    <w:rsid w:val="00911954"/>
    <w:rsid w:val="00912356"/>
    <w:rsid w:val="00913D63"/>
    <w:rsid w:val="009149B2"/>
    <w:rsid w:val="009149C8"/>
    <w:rsid w:val="00914B3D"/>
    <w:rsid w:val="0091628D"/>
    <w:rsid w:val="009164E9"/>
    <w:rsid w:val="009174DE"/>
    <w:rsid w:val="00920183"/>
    <w:rsid w:val="00920ABD"/>
    <w:rsid w:val="00921DF5"/>
    <w:rsid w:val="00921FBC"/>
    <w:rsid w:val="009223A1"/>
    <w:rsid w:val="00922DB4"/>
    <w:rsid w:val="00922FB6"/>
    <w:rsid w:val="00923077"/>
    <w:rsid w:val="00923BAF"/>
    <w:rsid w:val="00924C5B"/>
    <w:rsid w:val="009253FF"/>
    <w:rsid w:val="0092583B"/>
    <w:rsid w:val="00925D83"/>
    <w:rsid w:val="009267DF"/>
    <w:rsid w:val="00927E20"/>
    <w:rsid w:val="00930632"/>
    <w:rsid w:val="009323FE"/>
    <w:rsid w:val="009342A4"/>
    <w:rsid w:val="00934F03"/>
    <w:rsid w:val="00935DC4"/>
    <w:rsid w:val="00935F33"/>
    <w:rsid w:val="00936FEA"/>
    <w:rsid w:val="00937BA2"/>
    <w:rsid w:val="00937ED3"/>
    <w:rsid w:val="009402B0"/>
    <w:rsid w:val="0094129D"/>
    <w:rsid w:val="0094148F"/>
    <w:rsid w:val="009428C1"/>
    <w:rsid w:val="009436A5"/>
    <w:rsid w:val="00943A9C"/>
    <w:rsid w:val="00944697"/>
    <w:rsid w:val="00944A27"/>
    <w:rsid w:val="0094582E"/>
    <w:rsid w:val="00945BF0"/>
    <w:rsid w:val="00946127"/>
    <w:rsid w:val="009474F6"/>
    <w:rsid w:val="009504B3"/>
    <w:rsid w:val="00950C9D"/>
    <w:rsid w:val="009543A8"/>
    <w:rsid w:val="009544A9"/>
    <w:rsid w:val="00954779"/>
    <w:rsid w:val="00954D7E"/>
    <w:rsid w:val="0095564B"/>
    <w:rsid w:val="00955EB9"/>
    <w:rsid w:val="00956556"/>
    <w:rsid w:val="0095668F"/>
    <w:rsid w:val="0095789C"/>
    <w:rsid w:val="00957C58"/>
    <w:rsid w:val="00960870"/>
    <w:rsid w:val="009608FA"/>
    <w:rsid w:val="0096192B"/>
    <w:rsid w:val="00963116"/>
    <w:rsid w:val="00964A8D"/>
    <w:rsid w:val="009653D6"/>
    <w:rsid w:val="0096551E"/>
    <w:rsid w:val="009666D4"/>
    <w:rsid w:val="00966E42"/>
    <w:rsid w:val="00967A9F"/>
    <w:rsid w:val="00971192"/>
    <w:rsid w:val="00971DFC"/>
    <w:rsid w:val="00973BEE"/>
    <w:rsid w:val="00973F21"/>
    <w:rsid w:val="009750CF"/>
    <w:rsid w:val="009753F4"/>
    <w:rsid w:val="0097588F"/>
    <w:rsid w:val="00975CBC"/>
    <w:rsid w:val="00976A25"/>
    <w:rsid w:val="00976F8E"/>
    <w:rsid w:val="00977351"/>
    <w:rsid w:val="00981A99"/>
    <w:rsid w:val="009837C2"/>
    <w:rsid w:val="00983D6D"/>
    <w:rsid w:val="0098588B"/>
    <w:rsid w:val="00986157"/>
    <w:rsid w:val="00986397"/>
    <w:rsid w:val="009903DF"/>
    <w:rsid w:val="00990F85"/>
    <w:rsid w:val="009925F9"/>
    <w:rsid w:val="00994EED"/>
    <w:rsid w:val="009950D7"/>
    <w:rsid w:val="0099663A"/>
    <w:rsid w:val="00996FFB"/>
    <w:rsid w:val="009A13D3"/>
    <w:rsid w:val="009A3464"/>
    <w:rsid w:val="009A3A34"/>
    <w:rsid w:val="009A504E"/>
    <w:rsid w:val="009A61C6"/>
    <w:rsid w:val="009A74E7"/>
    <w:rsid w:val="009B090E"/>
    <w:rsid w:val="009B114F"/>
    <w:rsid w:val="009B18F2"/>
    <w:rsid w:val="009B3AF0"/>
    <w:rsid w:val="009B3D09"/>
    <w:rsid w:val="009B4702"/>
    <w:rsid w:val="009B535D"/>
    <w:rsid w:val="009B7035"/>
    <w:rsid w:val="009B72DE"/>
    <w:rsid w:val="009B7D54"/>
    <w:rsid w:val="009C094F"/>
    <w:rsid w:val="009C0F89"/>
    <w:rsid w:val="009C16E8"/>
    <w:rsid w:val="009C1B43"/>
    <w:rsid w:val="009C324E"/>
    <w:rsid w:val="009C41F6"/>
    <w:rsid w:val="009C5F6E"/>
    <w:rsid w:val="009C639A"/>
    <w:rsid w:val="009D1AB8"/>
    <w:rsid w:val="009D1C72"/>
    <w:rsid w:val="009D238F"/>
    <w:rsid w:val="009D2982"/>
    <w:rsid w:val="009D2CCB"/>
    <w:rsid w:val="009D3023"/>
    <w:rsid w:val="009D4AD5"/>
    <w:rsid w:val="009D4B1C"/>
    <w:rsid w:val="009D6631"/>
    <w:rsid w:val="009D7AD8"/>
    <w:rsid w:val="009E06F1"/>
    <w:rsid w:val="009E0BB0"/>
    <w:rsid w:val="009E140D"/>
    <w:rsid w:val="009E156B"/>
    <w:rsid w:val="009E2B28"/>
    <w:rsid w:val="009E2DA8"/>
    <w:rsid w:val="009E335E"/>
    <w:rsid w:val="009E5917"/>
    <w:rsid w:val="009E6238"/>
    <w:rsid w:val="009E6D1E"/>
    <w:rsid w:val="009E7E35"/>
    <w:rsid w:val="009F11B4"/>
    <w:rsid w:val="009F1419"/>
    <w:rsid w:val="009F1445"/>
    <w:rsid w:val="009F23C3"/>
    <w:rsid w:val="009F5D02"/>
    <w:rsid w:val="009F7431"/>
    <w:rsid w:val="009F7985"/>
    <w:rsid w:val="00A00353"/>
    <w:rsid w:val="00A00C50"/>
    <w:rsid w:val="00A01D30"/>
    <w:rsid w:val="00A027AD"/>
    <w:rsid w:val="00A0300A"/>
    <w:rsid w:val="00A03479"/>
    <w:rsid w:val="00A04AEC"/>
    <w:rsid w:val="00A04C74"/>
    <w:rsid w:val="00A06C17"/>
    <w:rsid w:val="00A06E24"/>
    <w:rsid w:val="00A0709F"/>
    <w:rsid w:val="00A10D37"/>
    <w:rsid w:val="00A11FFA"/>
    <w:rsid w:val="00A12535"/>
    <w:rsid w:val="00A12F62"/>
    <w:rsid w:val="00A142F1"/>
    <w:rsid w:val="00A148DF"/>
    <w:rsid w:val="00A14ABC"/>
    <w:rsid w:val="00A14B06"/>
    <w:rsid w:val="00A15910"/>
    <w:rsid w:val="00A16732"/>
    <w:rsid w:val="00A16734"/>
    <w:rsid w:val="00A16AB1"/>
    <w:rsid w:val="00A16D48"/>
    <w:rsid w:val="00A17B3E"/>
    <w:rsid w:val="00A20829"/>
    <w:rsid w:val="00A20DCE"/>
    <w:rsid w:val="00A2139A"/>
    <w:rsid w:val="00A221E3"/>
    <w:rsid w:val="00A224D0"/>
    <w:rsid w:val="00A23613"/>
    <w:rsid w:val="00A23E14"/>
    <w:rsid w:val="00A25944"/>
    <w:rsid w:val="00A274F7"/>
    <w:rsid w:val="00A27C1A"/>
    <w:rsid w:val="00A30AF6"/>
    <w:rsid w:val="00A30B3B"/>
    <w:rsid w:val="00A3161B"/>
    <w:rsid w:val="00A318D4"/>
    <w:rsid w:val="00A327FF"/>
    <w:rsid w:val="00A32E5B"/>
    <w:rsid w:val="00A33B94"/>
    <w:rsid w:val="00A33EA0"/>
    <w:rsid w:val="00A34A10"/>
    <w:rsid w:val="00A3534F"/>
    <w:rsid w:val="00A35A28"/>
    <w:rsid w:val="00A362D6"/>
    <w:rsid w:val="00A36357"/>
    <w:rsid w:val="00A36531"/>
    <w:rsid w:val="00A36CCC"/>
    <w:rsid w:val="00A3737E"/>
    <w:rsid w:val="00A37765"/>
    <w:rsid w:val="00A40401"/>
    <w:rsid w:val="00A41D71"/>
    <w:rsid w:val="00A41D7A"/>
    <w:rsid w:val="00A42E17"/>
    <w:rsid w:val="00A4481D"/>
    <w:rsid w:val="00A463E8"/>
    <w:rsid w:val="00A47392"/>
    <w:rsid w:val="00A47F4B"/>
    <w:rsid w:val="00A50221"/>
    <w:rsid w:val="00A51557"/>
    <w:rsid w:val="00A515CB"/>
    <w:rsid w:val="00A53837"/>
    <w:rsid w:val="00A54990"/>
    <w:rsid w:val="00A56F38"/>
    <w:rsid w:val="00A57326"/>
    <w:rsid w:val="00A5769F"/>
    <w:rsid w:val="00A601CB"/>
    <w:rsid w:val="00A60B3E"/>
    <w:rsid w:val="00A60D10"/>
    <w:rsid w:val="00A612BB"/>
    <w:rsid w:val="00A634F6"/>
    <w:rsid w:val="00A635B1"/>
    <w:rsid w:val="00A642ED"/>
    <w:rsid w:val="00A6532F"/>
    <w:rsid w:val="00A70450"/>
    <w:rsid w:val="00A71ABD"/>
    <w:rsid w:val="00A7323B"/>
    <w:rsid w:val="00A73319"/>
    <w:rsid w:val="00A734E8"/>
    <w:rsid w:val="00A735AF"/>
    <w:rsid w:val="00A74F96"/>
    <w:rsid w:val="00A75129"/>
    <w:rsid w:val="00A75EF9"/>
    <w:rsid w:val="00A769AE"/>
    <w:rsid w:val="00A77089"/>
    <w:rsid w:val="00A7767F"/>
    <w:rsid w:val="00A776B7"/>
    <w:rsid w:val="00A812DD"/>
    <w:rsid w:val="00A82DEB"/>
    <w:rsid w:val="00A83E51"/>
    <w:rsid w:val="00A842D7"/>
    <w:rsid w:val="00A86739"/>
    <w:rsid w:val="00A87C24"/>
    <w:rsid w:val="00A93953"/>
    <w:rsid w:val="00A93E48"/>
    <w:rsid w:val="00A9564A"/>
    <w:rsid w:val="00A959D1"/>
    <w:rsid w:val="00A95DA8"/>
    <w:rsid w:val="00A97ECA"/>
    <w:rsid w:val="00AA00F7"/>
    <w:rsid w:val="00AA010A"/>
    <w:rsid w:val="00AA014B"/>
    <w:rsid w:val="00AA0E83"/>
    <w:rsid w:val="00AA1F36"/>
    <w:rsid w:val="00AA2F81"/>
    <w:rsid w:val="00AA31E1"/>
    <w:rsid w:val="00AA3BD1"/>
    <w:rsid w:val="00AA6B5B"/>
    <w:rsid w:val="00AB0316"/>
    <w:rsid w:val="00AB0656"/>
    <w:rsid w:val="00AB0839"/>
    <w:rsid w:val="00AB08AC"/>
    <w:rsid w:val="00AB0F8E"/>
    <w:rsid w:val="00AB16ED"/>
    <w:rsid w:val="00AB2BC5"/>
    <w:rsid w:val="00AB2DA6"/>
    <w:rsid w:val="00AB2F07"/>
    <w:rsid w:val="00AB3CB1"/>
    <w:rsid w:val="00AB4BFB"/>
    <w:rsid w:val="00AB4F7F"/>
    <w:rsid w:val="00AB543B"/>
    <w:rsid w:val="00AB57C7"/>
    <w:rsid w:val="00AB5EA6"/>
    <w:rsid w:val="00AB6BAC"/>
    <w:rsid w:val="00AB7525"/>
    <w:rsid w:val="00AB7628"/>
    <w:rsid w:val="00AC137B"/>
    <w:rsid w:val="00AC16B4"/>
    <w:rsid w:val="00AC2621"/>
    <w:rsid w:val="00AC2E0A"/>
    <w:rsid w:val="00AC35C7"/>
    <w:rsid w:val="00AC3733"/>
    <w:rsid w:val="00AC42E9"/>
    <w:rsid w:val="00AC6881"/>
    <w:rsid w:val="00AC6A5E"/>
    <w:rsid w:val="00AC6B29"/>
    <w:rsid w:val="00AC6CA8"/>
    <w:rsid w:val="00AD171F"/>
    <w:rsid w:val="00AD1EB3"/>
    <w:rsid w:val="00AD2571"/>
    <w:rsid w:val="00AD3D35"/>
    <w:rsid w:val="00AD419B"/>
    <w:rsid w:val="00AD42F3"/>
    <w:rsid w:val="00AD4551"/>
    <w:rsid w:val="00AD5026"/>
    <w:rsid w:val="00AD6131"/>
    <w:rsid w:val="00AD7BEF"/>
    <w:rsid w:val="00AE05F2"/>
    <w:rsid w:val="00AE085F"/>
    <w:rsid w:val="00AE08E2"/>
    <w:rsid w:val="00AE0FB7"/>
    <w:rsid w:val="00AE113E"/>
    <w:rsid w:val="00AE2109"/>
    <w:rsid w:val="00AE2DA5"/>
    <w:rsid w:val="00AE3180"/>
    <w:rsid w:val="00AE3E83"/>
    <w:rsid w:val="00AE593D"/>
    <w:rsid w:val="00AE5A42"/>
    <w:rsid w:val="00AE6D5F"/>
    <w:rsid w:val="00AF009B"/>
    <w:rsid w:val="00AF02E9"/>
    <w:rsid w:val="00AF0B85"/>
    <w:rsid w:val="00AF1018"/>
    <w:rsid w:val="00AF2798"/>
    <w:rsid w:val="00AF3B89"/>
    <w:rsid w:val="00AF599A"/>
    <w:rsid w:val="00AF5B06"/>
    <w:rsid w:val="00B00A1F"/>
    <w:rsid w:val="00B01ACD"/>
    <w:rsid w:val="00B01D77"/>
    <w:rsid w:val="00B026BA"/>
    <w:rsid w:val="00B02E63"/>
    <w:rsid w:val="00B03923"/>
    <w:rsid w:val="00B048C7"/>
    <w:rsid w:val="00B0542E"/>
    <w:rsid w:val="00B06322"/>
    <w:rsid w:val="00B07580"/>
    <w:rsid w:val="00B118B8"/>
    <w:rsid w:val="00B11C16"/>
    <w:rsid w:val="00B1312F"/>
    <w:rsid w:val="00B14452"/>
    <w:rsid w:val="00B14D2C"/>
    <w:rsid w:val="00B15CD5"/>
    <w:rsid w:val="00B17E45"/>
    <w:rsid w:val="00B217DF"/>
    <w:rsid w:val="00B227C1"/>
    <w:rsid w:val="00B22C22"/>
    <w:rsid w:val="00B2304E"/>
    <w:rsid w:val="00B2357A"/>
    <w:rsid w:val="00B23C59"/>
    <w:rsid w:val="00B25003"/>
    <w:rsid w:val="00B25EEF"/>
    <w:rsid w:val="00B26774"/>
    <w:rsid w:val="00B26DF6"/>
    <w:rsid w:val="00B27461"/>
    <w:rsid w:val="00B27DE7"/>
    <w:rsid w:val="00B30BB3"/>
    <w:rsid w:val="00B313AB"/>
    <w:rsid w:val="00B3468F"/>
    <w:rsid w:val="00B346E7"/>
    <w:rsid w:val="00B34737"/>
    <w:rsid w:val="00B347D8"/>
    <w:rsid w:val="00B34A8F"/>
    <w:rsid w:val="00B34C14"/>
    <w:rsid w:val="00B359FE"/>
    <w:rsid w:val="00B403DD"/>
    <w:rsid w:val="00B41218"/>
    <w:rsid w:val="00B414F5"/>
    <w:rsid w:val="00B42599"/>
    <w:rsid w:val="00B428AB"/>
    <w:rsid w:val="00B42C39"/>
    <w:rsid w:val="00B4511D"/>
    <w:rsid w:val="00B4635C"/>
    <w:rsid w:val="00B513E3"/>
    <w:rsid w:val="00B513E8"/>
    <w:rsid w:val="00B514DF"/>
    <w:rsid w:val="00B52F08"/>
    <w:rsid w:val="00B53BFE"/>
    <w:rsid w:val="00B53E74"/>
    <w:rsid w:val="00B5418D"/>
    <w:rsid w:val="00B547C7"/>
    <w:rsid w:val="00B548F9"/>
    <w:rsid w:val="00B55549"/>
    <w:rsid w:val="00B56DAD"/>
    <w:rsid w:val="00B56DBE"/>
    <w:rsid w:val="00B57F70"/>
    <w:rsid w:val="00B60281"/>
    <w:rsid w:val="00B606A1"/>
    <w:rsid w:val="00B613A9"/>
    <w:rsid w:val="00B61D34"/>
    <w:rsid w:val="00B62848"/>
    <w:rsid w:val="00B646B5"/>
    <w:rsid w:val="00B66546"/>
    <w:rsid w:val="00B7111D"/>
    <w:rsid w:val="00B71309"/>
    <w:rsid w:val="00B71F6E"/>
    <w:rsid w:val="00B72FA7"/>
    <w:rsid w:val="00B733D2"/>
    <w:rsid w:val="00B73498"/>
    <w:rsid w:val="00B735F3"/>
    <w:rsid w:val="00B743BA"/>
    <w:rsid w:val="00B74EFB"/>
    <w:rsid w:val="00B75253"/>
    <w:rsid w:val="00B75868"/>
    <w:rsid w:val="00B75FB7"/>
    <w:rsid w:val="00B76101"/>
    <w:rsid w:val="00B77BBD"/>
    <w:rsid w:val="00B80485"/>
    <w:rsid w:val="00B8464E"/>
    <w:rsid w:val="00B84AC6"/>
    <w:rsid w:val="00B8665A"/>
    <w:rsid w:val="00B86979"/>
    <w:rsid w:val="00B86C66"/>
    <w:rsid w:val="00B86F1C"/>
    <w:rsid w:val="00B9029F"/>
    <w:rsid w:val="00B92D0D"/>
    <w:rsid w:val="00B930BC"/>
    <w:rsid w:val="00B9394E"/>
    <w:rsid w:val="00B946D4"/>
    <w:rsid w:val="00B95661"/>
    <w:rsid w:val="00B95837"/>
    <w:rsid w:val="00B95ED6"/>
    <w:rsid w:val="00B96096"/>
    <w:rsid w:val="00B961D7"/>
    <w:rsid w:val="00B96C5A"/>
    <w:rsid w:val="00B96EB9"/>
    <w:rsid w:val="00BA085F"/>
    <w:rsid w:val="00BA0B88"/>
    <w:rsid w:val="00BA3DCD"/>
    <w:rsid w:val="00BA4394"/>
    <w:rsid w:val="00BA5760"/>
    <w:rsid w:val="00BA60ED"/>
    <w:rsid w:val="00BA7609"/>
    <w:rsid w:val="00BA7CBA"/>
    <w:rsid w:val="00BA7FFA"/>
    <w:rsid w:val="00BB0914"/>
    <w:rsid w:val="00BB18A4"/>
    <w:rsid w:val="00BB22D5"/>
    <w:rsid w:val="00BB34CA"/>
    <w:rsid w:val="00BB3CCB"/>
    <w:rsid w:val="00BB4F0C"/>
    <w:rsid w:val="00BB53B2"/>
    <w:rsid w:val="00BB5753"/>
    <w:rsid w:val="00BB5C5A"/>
    <w:rsid w:val="00BB5D8C"/>
    <w:rsid w:val="00BB61EE"/>
    <w:rsid w:val="00BC141F"/>
    <w:rsid w:val="00BC1808"/>
    <w:rsid w:val="00BC3FDD"/>
    <w:rsid w:val="00BC4A71"/>
    <w:rsid w:val="00BC4FD5"/>
    <w:rsid w:val="00BC7E03"/>
    <w:rsid w:val="00BD05EC"/>
    <w:rsid w:val="00BD217F"/>
    <w:rsid w:val="00BD286C"/>
    <w:rsid w:val="00BD28CD"/>
    <w:rsid w:val="00BD4368"/>
    <w:rsid w:val="00BD4E92"/>
    <w:rsid w:val="00BD6085"/>
    <w:rsid w:val="00BD6F0D"/>
    <w:rsid w:val="00BD6FE2"/>
    <w:rsid w:val="00BE060C"/>
    <w:rsid w:val="00BE1518"/>
    <w:rsid w:val="00BE187F"/>
    <w:rsid w:val="00BE1E02"/>
    <w:rsid w:val="00BE43F5"/>
    <w:rsid w:val="00BE4962"/>
    <w:rsid w:val="00BE5295"/>
    <w:rsid w:val="00BE54C7"/>
    <w:rsid w:val="00BE686F"/>
    <w:rsid w:val="00BE7BA5"/>
    <w:rsid w:val="00BE7EFC"/>
    <w:rsid w:val="00BF0A9F"/>
    <w:rsid w:val="00BF15B2"/>
    <w:rsid w:val="00BF1A64"/>
    <w:rsid w:val="00BF1D65"/>
    <w:rsid w:val="00BF1E02"/>
    <w:rsid w:val="00BF1FA3"/>
    <w:rsid w:val="00BF22AD"/>
    <w:rsid w:val="00BF2406"/>
    <w:rsid w:val="00BF303B"/>
    <w:rsid w:val="00BF4063"/>
    <w:rsid w:val="00BF56F2"/>
    <w:rsid w:val="00BF5F52"/>
    <w:rsid w:val="00BF6B35"/>
    <w:rsid w:val="00BF6F39"/>
    <w:rsid w:val="00C014FD"/>
    <w:rsid w:val="00C01792"/>
    <w:rsid w:val="00C018E7"/>
    <w:rsid w:val="00C049CF"/>
    <w:rsid w:val="00C054BC"/>
    <w:rsid w:val="00C06944"/>
    <w:rsid w:val="00C07386"/>
    <w:rsid w:val="00C10336"/>
    <w:rsid w:val="00C10F23"/>
    <w:rsid w:val="00C1116D"/>
    <w:rsid w:val="00C12EBF"/>
    <w:rsid w:val="00C14AEF"/>
    <w:rsid w:val="00C15136"/>
    <w:rsid w:val="00C1525F"/>
    <w:rsid w:val="00C15376"/>
    <w:rsid w:val="00C153D9"/>
    <w:rsid w:val="00C1660E"/>
    <w:rsid w:val="00C168C7"/>
    <w:rsid w:val="00C171CB"/>
    <w:rsid w:val="00C207E6"/>
    <w:rsid w:val="00C224CB"/>
    <w:rsid w:val="00C2265A"/>
    <w:rsid w:val="00C22884"/>
    <w:rsid w:val="00C22982"/>
    <w:rsid w:val="00C22B1E"/>
    <w:rsid w:val="00C24B9F"/>
    <w:rsid w:val="00C24D01"/>
    <w:rsid w:val="00C25972"/>
    <w:rsid w:val="00C260D6"/>
    <w:rsid w:val="00C26523"/>
    <w:rsid w:val="00C30536"/>
    <w:rsid w:val="00C314F8"/>
    <w:rsid w:val="00C317E9"/>
    <w:rsid w:val="00C328E9"/>
    <w:rsid w:val="00C344B3"/>
    <w:rsid w:val="00C34D2F"/>
    <w:rsid w:val="00C35F50"/>
    <w:rsid w:val="00C372B6"/>
    <w:rsid w:val="00C37722"/>
    <w:rsid w:val="00C40FD8"/>
    <w:rsid w:val="00C43231"/>
    <w:rsid w:val="00C4379F"/>
    <w:rsid w:val="00C44196"/>
    <w:rsid w:val="00C4454B"/>
    <w:rsid w:val="00C471B0"/>
    <w:rsid w:val="00C50FD4"/>
    <w:rsid w:val="00C53092"/>
    <w:rsid w:val="00C53C3D"/>
    <w:rsid w:val="00C53E0F"/>
    <w:rsid w:val="00C543F4"/>
    <w:rsid w:val="00C54560"/>
    <w:rsid w:val="00C546B5"/>
    <w:rsid w:val="00C546CB"/>
    <w:rsid w:val="00C54E97"/>
    <w:rsid w:val="00C60045"/>
    <w:rsid w:val="00C606FC"/>
    <w:rsid w:val="00C61D08"/>
    <w:rsid w:val="00C63FDA"/>
    <w:rsid w:val="00C6444B"/>
    <w:rsid w:val="00C6457B"/>
    <w:rsid w:val="00C65369"/>
    <w:rsid w:val="00C66500"/>
    <w:rsid w:val="00C66B79"/>
    <w:rsid w:val="00C67D8A"/>
    <w:rsid w:val="00C67F9F"/>
    <w:rsid w:val="00C7056E"/>
    <w:rsid w:val="00C706A1"/>
    <w:rsid w:val="00C7119A"/>
    <w:rsid w:val="00C7137D"/>
    <w:rsid w:val="00C71E4F"/>
    <w:rsid w:val="00C71FEE"/>
    <w:rsid w:val="00C75AF5"/>
    <w:rsid w:val="00C75EBF"/>
    <w:rsid w:val="00C771C1"/>
    <w:rsid w:val="00C800CC"/>
    <w:rsid w:val="00C80756"/>
    <w:rsid w:val="00C81012"/>
    <w:rsid w:val="00C819F7"/>
    <w:rsid w:val="00C82283"/>
    <w:rsid w:val="00C84260"/>
    <w:rsid w:val="00C862A7"/>
    <w:rsid w:val="00C8666B"/>
    <w:rsid w:val="00C86EDD"/>
    <w:rsid w:val="00C87AB9"/>
    <w:rsid w:val="00C87F43"/>
    <w:rsid w:val="00C92740"/>
    <w:rsid w:val="00C9414D"/>
    <w:rsid w:val="00C94F3C"/>
    <w:rsid w:val="00C951EC"/>
    <w:rsid w:val="00C95D57"/>
    <w:rsid w:val="00CA05D7"/>
    <w:rsid w:val="00CA0D93"/>
    <w:rsid w:val="00CA16E1"/>
    <w:rsid w:val="00CA22C7"/>
    <w:rsid w:val="00CA23E0"/>
    <w:rsid w:val="00CA23F2"/>
    <w:rsid w:val="00CA3B12"/>
    <w:rsid w:val="00CA3FC6"/>
    <w:rsid w:val="00CA4464"/>
    <w:rsid w:val="00CA580A"/>
    <w:rsid w:val="00CA625D"/>
    <w:rsid w:val="00CA7183"/>
    <w:rsid w:val="00CA7718"/>
    <w:rsid w:val="00CA7A41"/>
    <w:rsid w:val="00CA7DD2"/>
    <w:rsid w:val="00CA7E8C"/>
    <w:rsid w:val="00CB2062"/>
    <w:rsid w:val="00CB2075"/>
    <w:rsid w:val="00CB22F3"/>
    <w:rsid w:val="00CB30EF"/>
    <w:rsid w:val="00CB36B5"/>
    <w:rsid w:val="00CB3BA5"/>
    <w:rsid w:val="00CB4BA9"/>
    <w:rsid w:val="00CB6B12"/>
    <w:rsid w:val="00CB74AB"/>
    <w:rsid w:val="00CB74B2"/>
    <w:rsid w:val="00CC1769"/>
    <w:rsid w:val="00CC185E"/>
    <w:rsid w:val="00CC1F7D"/>
    <w:rsid w:val="00CC2DB8"/>
    <w:rsid w:val="00CC3995"/>
    <w:rsid w:val="00CC41D3"/>
    <w:rsid w:val="00CC49E9"/>
    <w:rsid w:val="00CC4F80"/>
    <w:rsid w:val="00CD06A6"/>
    <w:rsid w:val="00CD1CDB"/>
    <w:rsid w:val="00CD74A3"/>
    <w:rsid w:val="00CD7665"/>
    <w:rsid w:val="00CE0375"/>
    <w:rsid w:val="00CE329E"/>
    <w:rsid w:val="00CE34C6"/>
    <w:rsid w:val="00CE4242"/>
    <w:rsid w:val="00CE50D3"/>
    <w:rsid w:val="00CE59B8"/>
    <w:rsid w:val="00CE5FB0"/>
    <w:rsid w:val="00CE6141"/>
    <w:rsid w:val="00CE61B5"/>
    <w:rsid w:val="00CE79EC"/>
    <w:rsid w:val="00CE7A43"/>
    <w:rsid w:val="00CE7C8A"/>
    <w:rsid w:val="00CF0BB4"/>
    <w:rsid w:val="00CF0C46"/>
    <w:rsid w:val="00CF106B"/>
    <w:rsid w:val="00CF1382"/>
    <w:rsid w:val="00CF15AC"/>
    <w:rsid w:val="00CF3FA1"/>
    <w:rsid w:val="00CF4376"/>
    <w:rsid w:val="00CF5628"/>
    <w:rsid w:val="00CF5DD1"/>
    <w:rsid w:val="00CF5E02"/>
    <w:rsid w:val="00CF60D1"/>
    <w:rsid w:val="00D00B83"/>
    <w:rsid w:val="00D01057"/>
    <w:rsid w:val="00D021FD"/>
    <w:rsid w:val="00D03129"/>
    <w:rsid w:val="00D03A21"/>
    <w:rsid w:val="00D041FF"/>
    <w:rsid w:val="00D043FA"/>
    <w:rsid w:val="00D04438"/>
    <w:rsid w:val="00D0703B"/>
    <w:rsid w:val="00D07F9D"/>
    <w:rsid w:val="00D101E7"/>
    <w:rsid w:val="00D1059C"/>
    <w:rsid w:val="00D106E0"/>
    <w:rsid w:val="00D10C79"/>
    <w:rsid w:val="00D113D4"/>
    <w:rsid w:val="00D130DE"/>
    <w:rsid w:val="00D13406"/>
    <w:rsid w:val="00D13986"/>
    <w:rsid w:val="00D13DFC"/>
    <w:rsid w:val="00D142F3"/>
    <w:rsid w:val="00D16185"/>
    <w:rsid w:val="00D16423"/>
    <w:rsid w:val="00D17F55"/>
    <w:rsid w:val="00D20265"/>
    <w:rsid w:val="00D2083A"/>
    <w:rsid w:val="00D2138C"/>
    <w:rsid w:val="00D217BA"/>
    <w:rsid w:val="00D21DC8"/>
    <w:rsid w:val="00D23F18"/>
    <w:rsid w:val="00D24D53"/>
    <w:rsid w:val="00D254EB"/>
    <w:rsid w:val="00D25A28"/>
    <w:rsid w:val="00D27962"/>
    <w:rsid w:val="00D3031C"/>
    <w:rsid w:val="00D32329"/>
    <w:rsid w:val="00D3293D"/>
    <w:rsid w:val="00D33750"/>
    <w:rsid w:val="00D37113"/>
    <w:rsid w:val="00D373E1"/>
    <w:rsid w:val="00D37A13"/>
    <w:rsid w:val="00D37CB0"/>
    <w:rsid w:val="00D406D4"/>
    <w:rsid w:val="00D41A44"/>
    <w:rsid w:val="00D42417"/>
    <w:rsid w:val="00D428E5"/>
    <w:rsid w:val="00D43011"/>
    <w:rsid w:val="00D43042"/>
    <w:rsid w:val="00D43207"/>
    <w:rsid w:val="00D436F8"/>
    <w:rsid w:val="00D43B54"/>
    <w:rsid w:val="00D44424"/>
    <w:rsid w:val="00D44834"/>
    <w:rsid w:val="00D4550C"/>
    <w:rsid w:val="00D45B5C"/>
    <w:rsid w:val="00D46D91"/>
    <w:rsid w:val="00D50080"/>
    <w:rsid w:val="00D50DBA"/>
    <w:rsid w:val="00D514EE"/>
    <w:rsid w:val="00D5176F"/>
    <w:rsid w:val="00D51D85"/>
    <w:rsid w:val="00D520B1"/>
    <w:rsid w:val="00D52C3C"/>
    <w:rsid w:val="00D53BFB"/>
    <w:rsid w:val="00D54239"/>
    <w:rsid w:val="00D54341"/>
    <w:rsid w:val="00D544D4"/>
    <w:rsid w:val="00D547DC"/>
    <w:rsid w:val="00D54A38"/>
    <w:rsid w:val="00D54A72"/>
    <w:rsid w:val="00D55096"/>
    <w:rsid w:val="00D57EB0"/>
    <w:rsid w:val="00D60D92"/>
    <w:rsid w:val="00D61232"/>
    <w:rsid w:val="00D618B6"/>
    <w:rsid w:val="00D61DC1"/>
    <w:rsid w:val="00D62398"/>
    <w:rsid w:val="00D62E28"/>
    <w:rsid w:val="00D65965"/>
    <w:rsid w:val="00D659C9"/>
    <w:rsid w:val="00D6746E"/>
    <w:rsid w:val="00D70570"/>
    <w:rsid w:val="00D70C4D"/>
    <w:rsid w:val="00D71AC9"/>
    <w:rsid w:val="00D71F4D"/>
    <w:rsid w:val="00D723FD"/>
    <w:rsid w:val="00D72A2B"/>
    <w:rsid w:val="00D738F8"/>
    <w:rsid w:val="00D73DF6"/>
    <w:rsid w:val="00D748B3"/>
    <w:rsid w:val="00D77313"/>
    <w:rsid w:val="00D8047B"/>
    <w:rsid w:val="00D808CB"/>
    <w:rsid w:val="00D80CBC"/>
    <w:rsid w:val="00D81014"/>
    <w:rsid w:val="00D815A6"/>
    <w:rsid w:val="00D84FF0"/>
    <w:rsid w:val="00D866AA"/>
    <w:rsid w:val="00D86920"/>
    <w:rsid w:val="00D871D5"/>
    <w:rsid w:val="00D872C1"/>
    <w:rsid w:val="00D8732B"/>
    <w:rsid w:val="00D87B15"/>
    <w:rsid w:val="00D9071A"/>
    <w:rsid w:val="00D9085F"/>
    <w:rsid w:val="00D90943"/>
    <w:rsid w:val="00D90F23"/>
    <w:rsid w:val="00D913B3"/>
    <w:rsid w:val="00D9149F"/>
    <w:rsid w:val="00D91C6D"/>
    <w:rsid w:val="00D92E25"/>
    <w:rsid w:val="00D93B37"/>
    <w:rsid w:val="00D9529E"/>
    <w:rsid w:val="00D95C1E"/>
    <w:rsid w:val="00D95D7B"/>
    <w:rsid w:val="00D96D56"/>
    <w:rsid w:val="00D978D0"/>
    <w:rsid w:val="00D97948"/>
    <w:rsid w:val="00D97FF4"/>
    <w:rsid w:val="00DA0932"/>
    <w:rsid w:val="00DA2E19"/>
    <w:rsid w:val="00DA2E5D"/>
    <w:rsid w:val="00DA38A8"/>
    <w:rsid w:val="00DA3BFD"/>
    <w:rsid w:val="00DA3EA1"/>
    <w:rsid w:val="00DA49F2"/>
    <w:rsid w:val="00DA5CC5"/>
    <w:rsid w:val="00DA784D"/>
    <w:rsid w:val="00DB01E3"/>
    <w:rsid w:val="00DB0F45"/>
    <w:rsid w:val="00DB308A"/>
    <w:rsid w:val="00DB3249"/>
    <w:rsid w:val="00DB488E"/>
    <w:rsid w:val="00DB493E"/>
    <w:rsid w:val="00DB5D96"/>
    <w:rsid w:val="00DB6B57"/>
    <w:rsid w:val="00DB6D82"/>
    <w:rsid w:val="00DB7026"/>
    <w:rsid w:val="00DB716B"/>
    <w:rsid w:val="00DB7A80"/>
    <w:rsid w:val="00DC03B8"/>
    <w:rsid w:val="00DC0DC8"/>
    <w:rsid w:val="00DC1413"/>
    <w:rsid w:val="00DC1A13"/>
    <w:rsid w:val="00DC30A1"/>
    <w:rsid w:val="00DC3EA7"/>
    <w:rsid w:val="00DC68FD"/>
    <w:rsid w:val="00DC6E45"/>
    <w:rsid w:val="00DC7C89"/>
    <w:rsid w:val="00DD07C3"/>
    <w:rsid w:val="00DD0E5D"/>
    <w:rsid w:val="00DD13AE"/>
    <w:rsid w:val="00DD1A30"/>
    <w:rsid w:val="00DD249B"/>
    <w:rsid w:val="00DD2DEA"/>
    <w:rsid w:val="00DD301F"/>
    <w:rsid w:val="00DD353F"/>
    <w:rsid w:val="00DD4401"/>
    <w:rsid w:val="00DD44CA"/>
    <w:rsid w:val="00DD49C1"/>
    <w:rsid w:val="00DD6794"/>
    <w:rsid w:val="00DE067E"/>
    <w:rsid w:val="00DE0706"/>
    <w:rsid w:val="00DE0B30"/>
    <w:rsid w:val="00DE0BF3"/>
    <w:rsid w:val="00DE0E4F"/>
    <w:rsid w:val="00DE1FE0"/>
    <w:rsid w:val="00DE2879"/>
    <w:rsid w:val="00DE2988"/>
    <w:rsid w:val="00DE4708"/>
    <w:rsid w:val="00DE48C4"/>
    <w:rsid w:val="00DE5FC8"/>
    <w:rsid w:val="00DE69EC"/>
    <w:rsid w:val="00DF07C0"/>
    <w:rsid w:val="00DF1BAB"/>
    <w:rsid w:val="00DF2121"/>
    <w:rsid w:val="00DF47A4"/>
    <w:rsid w:val="00DF585C"/>
    <w:rsid w:val="00DF5A46"/>
    <w:rsid w:val="00DF628B"/>
    <w:rsid w:val="00E001AD"/>
    <w:rsid w:val="00E009CD"/>
    <w:rsid w:val="00E01902"/>
    <w:rsid w:val="00E0257C"/>
    <w:rsid w:val="00E029EB"/>
    <w:rsid w:val="00E02C50"/>
    <w:rsid w:val="00E03257"/>
    <w:rsid w:val="00E03AAA"/>
    <w:rsid w:val="00E044DC"/>
    <w:rsid w:val="00E0463A"/>
    <w:rsid w:val="00E06A17"/>
    <w:rsid w:val="00E0709E"/>
    <w:rsid w:val="00E11A36"/>
    <w:rsid w:val="00E122F8"/>
    <w:rsid w:val="00E12449"/>
    <w:rsid w:val="00E136C1"/>
    <w:rsid w:val="00E14EA3"/>
    <w:rsid w:val="00E16378"/>
    <w:rsid w:val="00E1674B"/>
    <w:rsid w:val="00E167F0"/>
    <w:rsid w:val="00E1710D"/>
    <w:rsid w:val="00E177DF"/>
    <w:rsid w:val="00E1784F"/>
    <w:rsid w:val="00E1785E"/>
    <w:rsid w:val="00E21C5A"/>
    <w:rsid w:val="00E25732"/>
    <w:rsid w:val="00E259C6"/>
    <w:rsid w:val="00E25AA6"/>
    <w:rsid w:val="00E26943"/>
    <w:rsid w:val="00E278A4"/>
    <w:rsid w:val="00E2799E"/>
    <w:rsid w:val="00E3065B"/>
    <w:rsid w:val="00E31B30"/>
    <w:rsid w:val="00E3487E"/>
    <w:rsid w:val="00E34CE4"/>
    <w:rsid w:val="00E3601D"/>
    <w:rsid w:val="00E3627D"/>
    <w:rsid w:val="00E419D3"/>
    <w:rsid w:val="00E4381A"/>
    <w:rsid w:val="00E44D7C"/>
    <w:rsid w:val="00E44FA7"/>
    <w:rsid w:val="00E45582"/>
    <w:rsid w:val="00E4682E"/>
    <w:rsid w:val="00E46C4C"/>
    <w:rsid w:val="00E475A7"/>
    <w:rsid w:val="00E47CF5"/>
    <w:rsid w:val="00E508E5"/>
    <w:rsid w:val="00E51493"/>
    <w:rsid w:val="00E52F99"/>
    <w:rsid w:val="00E53A42"/>
    <w:rsid w:val="00E54247"/>
    <w:rsid w:val="00E55412"/>
    <w:rsid w:val="00E60D60"/>
    <w:rsid w:val="00E63B01"/>
    <w:rsid w:val="00E64602"/>
    <w:rsid w:val="00E64D27"/>
    <w:rsid w:val="00E7098E"/>
    <w:rsid w:val="00E70AB1"/>
    <w:rsid w:val="00E710E5"/>
    <w:rsid w:val="00E7218A"/>
    <w:rsid w:val="00E72891"/>
    <w:rsid w:val="00E72A6D"/>
    <w:rsid w:val="00E73163"/>
    <w:rsid w:val="00E73679"/>
    <w:rsid w:val="00E74C35"/>
    <w:rsid w:val="00E74FD5"/>
    <w:rsid w:val="00E773BC"/>
    <w:rsid w:val="00E80B54"/>
    <w:rsid w:val="00E81960"/>
    <w:rsid w:val="00E835CE"/>
    <w:rsid w:val="00E85E1E"/>
    <w:rsid w:val="00E85F0B"/>
    <w:rsid w:val="00E86858"/>
    <w:rsid w:val="00E878FA"/>
    <w:rsid w:val="00E90756"/>
    <w:rsid w:val="00E91268"/>
    <w:rsid w:val="00E916AA"/>
    <w:rsid w:val="00E91AB0"/>
    <w:rsid w:val="00E92EF6"/>
    <w:rsid w:val="00E93C30"/>
    <w:rsid w:val="00E93F32"/>
    <w:rsid w:val="00E95F0A"/>
    <w:rsid w:val="00E96102"/>
    <w:rsid w:val="00E96D6D"/>
    <w:rsid w:val="00EA002B"/>
    <w:rsid w:val="00EA04FB"/>
    <w:rsid w:val="00EA133B"/>
    <w:rsid w:val="00EA14B3"/>
    <w:rsid w:val="00EA1B4A"/>
    <w:rsid w:val="00EA202E"/>
    <w:rsid w:val="00EA242B"/>
    <w:rsid w:val="00EA3AC8"/>
    <w:rsid w:val="00EA5DF2"/>
    <w:rsid w:val="00EA6651"/>
    <w:rsid w:val="00EA7B68"/>
    <w:rsid w:val="00EB02AC"/>
    <w:rsid w:val="00EB28B3"/>
    <w:rsid w:val="00EB2BAD"/>
    <w:rsid w:val="00EB3356"/>
    <w:rsid w:val="00EB381F"/>
    <w:rsid w:val="00EB3909"/>
    <w:rsid w:val="00EB40C5"/>
    <w:rsid w:val="00EB4D19"/>
    <w:rsid w:val="00EB4E10"/>
    <w:rsid w:val="00EB5293"/>
    <w:rsid w:val="00EB6070"/>
    <w:rsid w:val="00EB64EB"/>
    <w:rsid w:val="00EB7EAA"/>
    <w:rsid w:val="00EC0CA6"/>
    <w:rsid w:val="00EC0CC3"/>
    <w:rsid w:val="00EC1BDF"/>
    <w:rsid w:val="00EC21A2"/>
    <w:rsid w:val="00EC25F2"/>
    <w:rsid w:val="00EC2B53"/>
    <w:rsid w:val="00EC405B"/>
    <w:rsid w:val="00EC51E6"/>
    <w:rsid w:val="00EC5A22"/>
    <w:rsid w:val="00EC5BEF"/>
    <w:rsid w:val="00EC792F"/>
    <w:rsid w:val="00ED19B4"/>
    <w:rsid w:val="00ED22CA"/>
    <w:rsid w:val="00ED2674"/>
    <w:rsid w:val="00ED29AC"/>
    <w:rsid w:val="00ED3976"/>
    <w:rsid w:val="00ED3D3F"/>
    <w:rsid w:val="00ED4274"/>
    <w:rsid w:val="00ED444B"/>
    <w:rsid w:val="00ED5666"/>
    <w:rsid w:val="00ED56C2"/>
    <w:rsid w:val="00ED5BCF"/>
    <w:rsid w:val="00ED7A4F"/>
    <w:rsid w:val="00EE0012"/>
    <w:rsid w:val="00EE1460"/>
    <w:rsid w:val="00EE1718"/>
    <w:rsid w:val="00EE29EF"/>
    <w:rsid w:val="00EE3053"/>
    <w:rsid w:val="00EE3107"/>
    <w:rsid w:val="00EE49EE"/>
    <w:rsid w:val="00EE5C8F"/>
    <w:rsid w:val="00EE6128"/>
    <w:rsid w:val="00EF04AD"/>
    <w:rsid w:val="00EF0FC1"/>
    <w:rsid w:val="00EF20D7"/>
    <w:rsid w:val="00EF2862"/>
    <w:rsid w:val="00EF2EB3"/>
    <w:rsid w:val="00EF46F4"/>
    <w:rsid w:val="00EF4CC7"/>
    <w:rsid w:val="00EF5A58"/>
    <w:rsid w:val="00EF5BD9"/>
    <w:rsid w:val="00EF6B3C"/>
    <w:rsid w:val="00EF6CC6"/>
    <w:rsid w:val="00EF72CB"/>
    <w:rsid w:val="00F01222"/>
    <w:rsid w:val="00F02B3B"/>
    <w:rsid w:val="00F03681"/>
    <w:rsid w:val="00F03801"/>
    <w:rsid w:val="00F03C01"/>
    <w:rsid w:val="00F070EE"/>
    <w:rsid w:val="00F07116"/>
    <w:rsid w:val="00F07E76"/>
    <w:rsid w:val="00F111FC"/>
    <w:rsid w:val="00F11DB2"/>
    <w:rsid w:val="00F127FF"/>
    <w:rsid w:val="00F134A1"/>
    <w:rsid w:val="00F14423"/>
    <w:rsid w:val="00F14D57"/>
    <w:rsid w:val="00F15B1E"/>
    <w:rsid w:val="00F15C43"/>
    <w:rsid w:val="00F16906"/>
    <w:rsid w:val="00F173BB"/>
    <w:rsid w:val="00F2116D"/>
    <w:rsid w:val="00F21476"/>
    <w:rsid w:val="00F217C6"/>
    <w:rsid w:val="00F21C2B"/>
    <w:rsid w:val="00F2278C"/>
    <w:rsid w:val="00F2296F"/>
    <w:rsid w:val="00F23BED"/>
    <w:rsid w:val="00F2430B"/>
    <w:rsid w:val="00F26F25"/>
    <w:rsid w:val="00F27233"/>
    <w:rsid w:val="00F27281"/>
    <w:rsid w:val="00F305D5"/>
    <w:rsid w:val="00F31D98"/>
    <w:rsid w:val="00F32574"/>
    <w:rsid w:val="00F33205"/>
    <w:rsid w:val="00F3397A"/>
    <w:rsid w:val="00F33BA5"/>
    <w:rsid w:val="00F352E3"/>
    <w:rsid w:val="00F40C5C"/>
    <w:rsid w:val="00F417D2"/>
    <w:rsid w:val="00F43B06"/>
    <w:rsid w:val="00F4729D"/>
    <w:rsid w:val="00F537DD"/>
    <w:rsid w:val="00F539BC"/>
    <w:rsid w:val="00F557AA"/>
    <w:rsid w:val="00F574CF"/>
    <w:rsid w:val="00F578CB"/>
    <w:rsid w:val="00F61D68"/>
    <w:rsid w:val="00F61F3B"/>
    <w:rsid w:val="00F62C24"/>
    <w:rsid w:val="00F64321"/>
    <w:rsid w:val="00F6466E"/>
    <w:rsid w:val="00F70444"/>
    <w:rsid w:val="00F70CDE"/>
    <w:rsid w:val="00F70D36"/>
    <w:rsid w:val="00F71517"/>
    <w:rsid w:val="00F719AC"/>
    <w:rsid w:val="00F71F62"/>
    <w:rsid w:val="00F71FCE"/>
    <w:rsid w:val="00F7322F"/>
    <w:rsid w:val="00F7347D"/>
    <w:rsid w:val="00F74498"/>
    <w:rsid w:val="00F74793"/>
    <w:rsid w:val="00F752B6"/>
    <w:rsid w:val="00F76309"/>
    <w:rsid w:val="00F76CA8"/>
    <w:rsid w:val="00F80703"/>
    <w:rsid w:val="00F80DC9"/>
    <w:rsid w:val="00F81034"/>
    <w:rsid w:val="00F81F70"/>
    <w:rsid w:val="00F825D4"/>
    <w:rsid w:val="00F835A5"/>
    <w:rsid w:val="00F84FF5"/>
    <w:rsid w:val="00F85D4C"/>
    <w:rsid w:val="00F85FA2"/>
    <w:rsid w:val="00F86697"/>
    <w:rsid w:val="00F87824"/>
    <w:rsid w:val="00F90A03"/>
    <w:rsid w:val="00F91D69"/>
    <w:rsid w:val="00F91F97"/>
    <w:rsid w:val="00F921B7"/>
    <w:rsid w:val="00F94BD6"/>
    <w:rsid w:val="00F94F9A"/>
    <w:rsid w:val="00F9511E"/>
    <w:rsid w:val="00F9595E"/>
    <w:rsid w:val="00F95D47"/>
    <w:rsid w:val="00F96561"/>
    <w:rsid w:val="00F9657C"/>
    <w:rsid w:val="00F97CD9"/>
    <w:rsid w:val="00FA152D"/>
    <w:rsid w:val="00FA1895"/>
    <w:rsid w:val="00FA214A"/>
    <w:rsid w:val="00FA25B6"/>
    <w:rsid w:val="00FA316C"/>
    <w:rsid w:val="00FA3259"/>
    <w:rsid w:val="00FA38E5"/>
    <w:rsid w:val="00FA4505"/>
    <w:rsid w:val="00FA4B15"/>
    <w:rsid w:val="00FA5D31"/>
    <w:rsid w:val="00FA69A4"/>
    <w:rsid w:val="00FA73F3"/>
    <w:rsid w:val="00FA7982"/>
    <w:rsid w:val="00FB07CF"/>
    <w:rsid w:val="00FB0B81"/>
    <w:rsid w:val="00FB3412"/>
    <w:rsid w:val="00FB47DC"/>
    <w:rsid w:val="00FB4AB7"/>
    <w:rsid w:val="00FB5BD6"/>
    <w:rsid w:val="00FC0A23"/>
    <w:rsid w:val="00FC0C90"/>
    <w:rsid w:val="00FC0E46"/>
    <w:rsid w:val="00FC0E60"/>
    <w:rsid w:val="00FC0F20"/>
    <w:rsid w:val="00FC0F3E"/>
    <w:rsid w:val="00FC0F4D"/>
    <w:rsid w:val="00FC164B"/>
    <w:rsid w:val="00FC1DB9"/>
    <w:rsid w:val="00FC22FA"/>
    <w:rsid w:val="00FC28B3"/>
    <w:rsid w:val="00FC459B"/>
    <w:rsid w:val="00FC4A28"/>
    <w:rsid w:val="00FC55CC"/>
    <w:rsid w:val="00FC5D2C"/>
    <w:rsid w:val="00FC636E"/>
    <w:rsid w:val="00FC7831"/>
    <w:rsid w:val="00FD0308"/>
    <w:rsid w:val="00FD045F"/>
    <w:rsid w:val="00FD1FCE"/>
    <w:rsid w:val="00FD2820"/>
    <w:rsid w:val="00FD4921"/>
    <w:rsid w:val="00FD54AD"/>
    <w:rsid w:val="00FD5B4A"/>
    <w:rsid w:val="00FD688F"/>
    <w:rsid w:val="00FD697A"/>
    <w:rsid w:val="00FE1D07"/>
    <w:rsid w:val="00FE1E50"/>
    <w:rsid w:val="00FE21B3"/>
    <w:rsid w:val="00FE4105"/>
    <w:rsid w:val="00FE450A"/>
    <w:rsid w:val="00FE464B"/>
    <w:rsid w:val="00FE4725"/>
    <w:rsid w:val="00FE48F9"/>
    <w:rsid w:val="00FE5423"/>
    <w:rsid w:val="00FE7A49"/>
    <w:rsid w:val="00FF027C"/>
    <w:rsid w:val="00FF0299"/>
    <w:rsid w:val="00FF1D6F"/>
    <w:rsid w:val="00FF2817"/>
    <w:rsid w:val="00FF35A0"/>
    <w:rsid w:val="00FF396A"/>
    <w:rsid w:val="00FF4C60"/>
    <w:rsid w:val="00FF6CA8"/>
    <w:rsid w:val="00FF7217"/>
    <w:rsid w:val="00FF72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67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F67"/>
    <w:pPr>
      <w:widowControl w:val="0"/>
      <w:autoSpaceDE w:val="0"/>
      <w:autoSpaceDN w:val="0"/>
      <w:adjustRightInd w:val="0"/>
      <w:spacing w:before="120" w:after="120" w:line="276" w:lineRule="auto"/>
    </w:pPr>
    <w:rPr>
      <w:rFonts w:asciiTheme="majorHAnsi" w:eastAsia="Times New Roman" w:hAnsiTheme="majorHAnsi" w:cs="Times New Roman"/>
      <w:color w:val="000000"/>
      <w:sz w:val="22"/>
      <w:szCs w:val="22"/>
    </w:rPr>
  </w:style>
  <w:style w:type="paragraph" w:styleId="Heading1">
    <w:name w:val="heading 1"/>
    <w:basedOn w:val="Normal"/>
    <w:next w:val="Normal"/>
    <w:link w:val="Heading1Char"/>
    <w:uiPriority w:val="9"/>
    <w:qFormat/>
    <w:rsid w:val="00BF5F52"/>
    <w:pPr>
      <w:keepNext/>
      <w:keepLines/>
      <w:spacing w:before="480" w:after="0"/>
      <w:outlineLvl w:val="0"/>
    </w:pPr>
    <w:rPr>
      <w:rFonts w:eastAsiaTheme="majorEastAsia" w:cstheme="majorBidi"/>
      <w:b/>
      <w:bCs/>
      <w:color w:val="244061" w:themeColor="accent1" w:themeShade="80"/>
      <w:sz w:val="32"/>
      <w:szCs w:val="32"/>
    </w:rPr>
  </w:style>
  <w:style w:type="paragraph" w:styleId="Heading2">
    <w:name w:val="heading 2"/>
    <w:basedOn w:val="Heading3"/>
    <w:next w:val="Normal"/>
    <w:link w:val="Heading2Char"/>
    <w:uiPriority w:val="9"/>
    <w:unhideWhenUsed/>
    <w:qFormat/>
    <w:rsid w:val="001B2831"/>
    <w:pPr>
      <w:outlineLvl w:val="1"/>
    </w:pPr>
    <w:rPr>
      <w:sz w:val="28"/>
    </w:rPr>
  </w:style>
  <w:style w:type="paragraph" w:styleId="Heading3">
    <w:name w:val="heading 3"/>
    <w:basedOn w:val="Normal"/>
    <w:next w:val="Normal"/>
    <w:link w:val="Heading3Char"/>
    <w:qFormat/>
    <w:rsid w:val="00BF5F52"/>
    <w:pPr>
      <w:spacing w:before="240" w:after="60"/>
      <w:outlineLvl w:val="2"/>
    </w:pPr>
    <w:rPr>
      <w:rFonts w:ascii="Arial" w:eastAsia="Arial" w:hAnsi="Arial" w:cs="Arial"/>
      <w:b/>
      <w:bCs/>
      <w:color w:val="365F91" w:themeColor="accent1" w:themeShade="BF"/>
      <w:szCs w:val="26"/>
    </w:rPr>
  </w:style>
  <w:style w:type="paragraph" w:styleId="Heading4">
    <w:name w:val="heading 4"/>
    <w:basedOn w:val="Normal"/>
    <w:next w:val="Normal"/>
    <w:link w:val="Heading4Char"/>
    <w:uiPriority w:val="9"/>
    <w:unhideWhenUsed/>
    <w:qFormat/>
    <w:rsid w:val="00D97FF4"/>
    <w:pPr>
      <w:keepNext/>
      <w:keepLines/>
      <w:spacing w:before="200" w:after="0"/>
      <w:outlineLvl w:val="3"/>
    </w:pPr>
    <w:rPr>
      <w:rFonts w:eastAsiaTheme="majorEastAsia" w:cstheme="majorBidi"/>
      <w:b/>
      <w:bCs/>
      <w:i/>
      <w:iCs/>
      <w:color w:val="000000" w:themeColor="text1"/>
    </w:rPr>
  </w:style>
  <w:style w:type="paragraph" w:styleId="Heading5">
    <w:name w:val="heading 5"/>
    <w:basedOn w:val="Heading2"/>
    <w:next w:val="Normal"/>
    <w:link w:val="Heading5Char"/>
    <w:qFormat/>
    <w:rsid w:val="004B7A0C"/>
    <w:pPr>
      <w:pBdr>
        <w:bottom w:val="single" w:sz="18" w:space="1" w:color="244061" w:themeColor="accent1" w:themeShade="80"/>
      </w:pBdr>
      <w:outlineLvl w:val="4"/>
    </w:pPr>
    <w:rPr>
      <w:color w:val="17365D" w:themeColor="text2" w:themeShade="BF"/>
    </w:rPr>
  </w:style>
  <w:style w:type="paragraph" w:styleId="Heading6">
    <w:name w:val="heading 6"/>
    <w:basedOn w:val="Heading2"/>
    <w:next w:val="Normal"/>
    <w:link w:val="Heading6Char"/>
    <w:qFormat/>
    <w:rsid w:val="00265DD2"/>
    <w:pPr>
      <w:outlineLvl w:val="5"/>
    </w:pPr>
  </w:style>
  <w:style w:type="paragraph" w:styleId="Heading7">
    <w:name w:val="heading 7"/>
    <w:basedOn w:val="Normal"/>
    <w:next w:val="Normal"/>
    <w:link w:val="Heading7Char"/>
    <w:uiPriority w:val="9"/>
    <w:unhideWhenUsed/>
    <w:qFormat/>
    <w:rsid w:val="000E3F4B"/>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F5F52"/>
    <w:rPr>
      <w:rFonts w:ascii="Arial" w:eastAsia="Arial" w:hAnsi="Arial" w:cs="Arial"/>
      <w:b/>
      <w:bCs/>
      <w:color w:val="365F91" w:themeColor="accent1" w:themeShade="BF"/>
      <w:sz w:val="22"/>
      <w:szCs w:val="26"/>
    </w:rPr>
  </w:style>
  <w:style w:type="character" w:customStyle="1" w:styleId="Heading5Char">
    <w:name w:val="Heading 5 Char"/>
    <w:basedOn w:val="DefaultParagraphFont"/>
    <w:link w:val="Heading5"/>
    <w:rsid w:val="004B7A0C"/>
    <w:rPr>
      <w:rFonts w:ascii="Arial" w:eastAsia="Arial" w:hAnsi="Arial" w:cs="Arial"/>
      <w:b/>
      <w:bCs/>
      <w:color w:val="17365D" w:themeColor="text2" w:themeShade="BF"/>
      <w:sz w:val="28"/>
      <w:szCs w:val="26"/>
    </w:rPr>
  </w:style>
  <w:style w:type="character" w:customStyle="1" w:styleId="Heading6Char">
    <w:name w:val="Heading 6 Char"/>
    <w:basedOn w:val="DefaultParagraphFont"/>
    <w:link w:val="Heading6"/>
    <w:rsid w:val="00265DD2"/>
    <w:rPr>
      <w:rFonts w:ascii="Arial" w:eastAsia="Arial" w:hAnsi="Arial" w:cs="Arial"/>
      <w:b/>
      <w:bCs/>
      <w:color w:val="365F91" w:themeColor="accent1" w:themeShade="BF"/>
      <w:sz w:val="28"/>
      <w:szCs w:val="26"/>
    </w:rPr>
  </w:style>
  <w:style w:type="paragraph" w:customStyle="1" w:styleId="TableHeader">
    <w:name w:val="Table Header"/>
    <w:basedOn w:val="Normal"/>
    <w:rsid w:val="008005E3"/>
    <w:rPr>
      <w:rFonts w:ascii="Calibri" w:hAnsi="Calibri"/>
      <w:b/>
      <w:color w:val="FFFFFF"/>
      <w:sz w:val="16"/>
    </w:rPr>
  </w:style>
  <w:style w:type="paragraph" w:customStyle="1" w:styleId="TableContent">
    <w:name w:val="Table Content"/>
    <w:basedOn w:val="Normal"/>
    <w:rsid w:val="008005E3"/>
    <w:rPr>
      <w:rFonts w:ascii="Calibri" w:hAnsi="Calibri"/>
      <w:sz w:val="16"/>
    </w:rPr>
  </w:style>
  <w:style w:type="character" w:styleId="Hyperlink">
    <w:name w:val="Hyperlink"/>
    <w:basedOn w:val="DefaultParagraphFont"/>
    <w:uiPriority w:val="99"/>
    <w:rsid w:val="008005E3"/>
    <w:rPr>
      <w:rFonts w:cs="Times New Roman"/>
      <w:color w:val="0000FF"/>
      <w:u w:val="single"/>
    </w:rPr>
  </w:style>
  <w:style w:type="paragraph" w:customStyle="1" w:styleId="Title-Figure">
    <w:name w:val="Title-Figure"/>
    <w:aliases w:val="FT*"/>
    <w:basedOn w:val="Normal"/>
    <w:next w:val="BodyText"/>
    <w:rsid w:val="008005E3"/>
    <w:pPr>
      <w:widowControl/>
      <w:autoSpaceDE/>
      <w:autoSpaceDN/>
      <w:adjustRightInd/>
      <w:spacing w:before="0" w:after="200"/>
      <w:ind w:left="1008" w:hanging="1008"/>
    </w:pPr>
    <w:rPr>
      <w:rFonts w:ascii="Calibri" w:hAnsi="Calibri"/>
      <w:b/>
      <w:color w:val="auto"/>
    </w:rPr>
  </w:style>
  <w:style w:type="paragraph" w:styleId="FootnoteText">
    <w:name w:val="footnote text"/>
    <w:basedOn w:val="Normal"/>
    <w:link w:val="FootnoteTextChar"/>
    <w:rsid w:val="008005E3"/>
    <w:pPr>
      <w:spacing w:before="60" w:after="60" w:line="240" w:lineRule="auto"/>
    </w:pPr>
    <w:rPr>
      <w:rFonts w:ascii="Calibri" w:hAnsi="Calibri"/>
      <w:szCs w:val="20"/>
    </w:rPr>
  </w:style>
  <w:style w:type="character" w:customStyle="1" w:styleId="FootnoteTextChar">
    <w:name w:val="Footnote Text Char"/>
    <w:basedOn w:val="DefaultParagraphFont"/>
    <w:link w:val="FootnoteText"/>
    <w:rsid w:val="008005E3"/>
    <w:rPr>
      <w:rFonts w:ascii="Calibri" w:eastAsia="Times New Roman" w:hAnsi="Calibri" w:cs="Times New Roman"/>
      <w:color w:val="000000"/>
      <w:sz w:val="18"/>
      <w:szCs w:val="20"/>
      <w:lang w:val="ru-RU"/>
    </w:rPr>
  </w:style>
  <w:style w:type="character" w:styleId="FootnoteReference">
    <w:name w:val="footnote reference"/>
    <w:basedOn w:val="DefaultParagraphFont"/>
    <w:rsid w:val="008005E3"/>
    <w:rPr>
      <w:rFonts w:ascii="Calibri" w:hAnsi="Calibri" w:cs="Times New Roman"/>
      <w:sz w:val="18"/>
      <w:vertAlign w:val="superscript"/>
    </w:rPr>
  </w:style>
  <w:style w:type="paragraph" w:customStyle="1" w:styleId="reference">
    <w:name w:val="reference"/>
    <w:basedOn w:val="Normal"/>
    <w:rsid w:val="008005E3"/>
    <w:pPr>
      <w:widowControl/>
      <w:autoSpaceDE/>
      <w:autoSpaceDN/>
      <w:adjustRightInd/>
      <w:spacing w:beforeLines="1" w:afterLines="1" w:line="240" w:lineRule="auto"/>
      <w:ind w:left="720" w:hanging="720"/>
    </w:pPr>
    <w:rPr>
      <w:rFonts w:ascii="Times" w:hAnsi="Times"/>
      <w:color w:val="auto"/>
      <w:sz w:val="20"/>
      <w:szCs w:val="20"/>
    </w:rPr>
  </w:style>
  <w:style w:type="paragraph" w:styleId="BodyText">
    <w:name w:val="Body Text"/>
    <w:basedOn w:val="Normal"/>
    <w:link w:val="BodyTextChar"/>
    <w:uiPriority w:val="99"/>
    <w:semiHidden/>
    <w:unhideWhenUsed/>
    <w:rsid w:val="008005E3"/>
  </w:style>
  <w:style w:type="character" w:customStyle="1" w:styleId="BodyTextChar">
    <w:name w:val="Body Text Char"/>
    <w:basedOn w:val="DefaultParagraphFont"/>
    <w:link w:val="BodyText"/>
    <w:uiPriority w:val="99"/>
    <w:semiHidden/>
    <w:rsid w:val="008005E3"/>
    <w:rPr>
      <w:rFonts w:ascii="Georgia" w:eastAsia="Times New Roman" w:hAnsi="Georgia" w:cs="Times New Roman"/>
      <w:color w:val="000000"/>
      <w:sz w:val="18"/>
      <w:lang w:val="ru-RU"/>
    </w:rPr>
  </w:style>
  <w:style w:type="character" w:customStyle="1" w:styleId="Heading1Char">
    <w:name w:val="Heading 1 Char"/>
    <w:basedOn w:val="DefaultParagraphFont"/>
    <w:link w:val="Heading1"/>
    <w:uiPriority w:val="9"/>
    <w:rsid w:val="00BF5F52"/>
    <w:rPr>
      <w:rFonts w:asciiTheme="majorHAnsi" w:eastAsiaTheme="majorEastAsia" w:hAnsiTheme="majorHAnsi" w:cstheme="majorBidi"/>
      <w:b/>
      <w:bCs/>
      <w:color w:val="244061" w:themeColor="accent1" w:themeShade="80"/>
      <w:sz w:val="32"/>
      <w:szCs w:val="32"/>
    </w:rPr>
  </w:style>
  <w:style w:type="character" w:customStyle="1" w:styleId="Heading2Char">
    <w:name w:val="Heading 2 Char"/>
    <w:basedOn w:val="DefaultParagraphFont"/>
    <w:link w:val="Heading2"/>
    <w:uiPriority w:val="9"/>
    <w:rsid w:val="001B2831"/>
    <w:rPr>
      <w:rFonts w:ascii="Arial" w:eastAsia="Arial" w:hAnsi="Arial" w:cs="Arial"/>
      <w:b/>
      <w:bCs/>
      <w:color w:val="365F91" w:themeColor="accent1" w:themeShade="BF"/>
      <w:sz w:val="28"/>
      <w:szCs w:val="26"/>
    </w:rPr>
  </w:style>
  <w:style w:type="paragraph" w:styleId="Header">
    <w:name w:val="header"/>
    <w:basedOn w:val="Normal"/>
    <w:link w:val="HeaderChar"/>
    <w:unhideWhenUsed/>
    <w:rsid w:val="00D7057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70570"/>
    <w:rPr>
      <w:rFonts w:ascii="Georgia" w:eastAsia="Times New Roman" w:hAnsi="Georgia" w:cs="Times New Roman"/>
      <w:color w:val="000000"/>
      <w:sz w:val="18"/>
      <w:lang w:val="ru-RU"/>
    </w:rPr>
  </w:style>
  <w:style w:type="paragraph" w:styleId="Footer">
    <w:name w:val="footer"/>
    <w:basedOn w:val="Normal"/>
    <w:link w:val="FooterChar"/>
    <w:unhideWhenUsed/>
    <w:rsid w:val="00D7057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70570"/>
    <w:rPr>
      <w:rFonts w:ascii="Georgia" w:eastAsia="Times New Roman" w:hAnsi="Georgia" w:cs="Times New Roman"/>
      <w:color w:val="000000"/>
      <w:sz w:val="18"/>
      <w:lang w:val="ru-RU"/>
    </w:rPr>
  </w:style>
  <w:style w:type="character" w:styleId="PageNumber">
    <w:name w:val="page number"/>
    <w:basedOn w:val="DefaultParagraphFont"/>
    <w:unhideWhenUsed/>
    <w:rsid w:val="00D70570"/>
  </w:style>
  <w:style w:type="paragraph" w:styleId="ListParagraph">
    <w:name w:val="List Paragraph"/>
    <w:basedOn w:val="Normal"/>
    <w:uiPriority w:val="34"/>
    <w:qFormat/>
    <w:rsid w:val="00733246"/>
    <w:pPr>
      <w:ind w:left="720"/>
      <w:contextualSpacing/>
    </w:pPr>
  </w:style>
  <w:style w:type="table" w:styleId="TableGrid">
    <w:name w:val="Table Grid"/>
    <w:basedOn w:val="TableNormal"/>
    <w:uiPriority w:val="59"/>
    <w:rsid w:val="00D8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97FF4"/>
    <w:rPr>
      <w:rFonts w:asciiTheme="majorHAnsi" w:eastAsiaTheme="majorEastAsia" w:hAnsiTheme="majorHAnsi" w:cstheme="majorBidi"/>
      <w:b/>
      <w:bCs/>
      <w:i/>
      <w:iCs/>
      <w:color w:val="000000" w:themeColor="text1"/>
      <w:sz w:val="22"/>
      <w:szCs w:val="22"/>
    </w:rPr>
  </w:style>
  <w:style w:type="paragraph" w:styleId="BalloonText">
    <w:name w:val="Balloon Text"/>
    <w:basedOn w:val="Normal"/>
    <w:link w:val="BalloonTextChar"/>
    <w:uiPriority w:val="99"/>
    <w:semiHidden/>
    <w:unhideWhenUsed/>
    <w:rsid w:val="00D6746E"/>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46E"/>
    <w:rPr>
      <w:rFonts w:ascii="Lucida Grande" w:eastAsia="Times New Roman" w:hAnsi="Lucida Grande" w:cs="Lucida Grande"/>
      <w:color w:val="000000"/>
      <w:sz w:val="18"/>
      <w:szCs w:val="18"/>
    </w:rPr>
  </w:style>
  <w:style w:type="character" w:styleId="CommentReference">
    <w:name w:val="annotation reference"/>
    <w:basedOn w:val="DefaultParagraphFont"/>
    <w:unhideWhenUsed/>
    <w:rsid w:val="00284A3C"/>
    <w:rPr>
      <w:sz w:val="18"/>
      <w:szCs w:val="18"/>
    </w:rPr>
  </w:style>
  <w:style w:type="paragraph" w:styleId="CommentText">
    <w:name w:val="annotation text"/>
    <w:basedOn w:val="Normal"/>
    <w:link w:val="CommentTextChar"/>
    <w:uiPriority w:val="99"/>
    <w:unhideWhenUsed/>
    <w:rsid w:val="00284A3C"/>
    <w:pPr>
      <w:spacing w:line="240" w:lineRule="auto"/>
    </w:pPr>
    <w:rPr>
      <w:sz w:val="24"/>
      <w:szCs w:val="24"/>
    </w:rPr>
  </w:style>
  <w:style w:type="character" w:customStyle="1" w:styleId="CommentTextChar">
    <w:name w:val="Comment Text Char"/>
    <w:basedOn w:val="DefaultParagraphFont"/>
    <w:link w:val="CommentText"/>
    <w:uiPriority w:val="99"/>
    <w:rsid w:val="00284A3C"/>
    <w:rPr>
      <w:rFonts w:asciiTheme="majorHAnsi" w:eastAsia="Times New Roman" w:hAnsiTheme="majorHAnsi" w:cs="Times New Roman"/>
      <w:color w:val="000000"/>
    </w:rPr>
  </w:style>
  <w:style w:type="paragraph" w:styleId="CommentSubject">
    <w:name w:val="annotation subject"/>
    <w:basedOn w:val="CommentText"/>
    <w:next w:val="CommentText"/>
    <w:link w:val="CommentSubjectChar"/>
    <w:uiPriority w:val="99"/>
    <w:semiHidden/>
    <w:unhideWhenUsed/>
    <w:rsid w:val="00284A3C"/>
    <w:rPr>
      <w:b/>
      <w:bCs/>
      <w:sz w:val="20"/>
      <w:szCs w:val="20"/>
    </w:rPr>
  </w:style>
  <w:style w:type="character" w:customStyle="1" w:styleId="CommentSubjectChar">
    <w:name w:val="Comment Subject Char"/>
    <w:basedOn w:val="CommentTextChar"/>
    <w:link w:val="CommentSubject"/>
    <w:uiPriority w:val="99"/>
    <w:semiHidden/>
    <w:rsid w:val="00284A3C"/>
    <w:rPr>
      <w:rFonts w:asciiTheme="majorHAnsi" w:eastAsia="Times New Roman" w:hAnsiTheme="majorHAnsi" w:cs="Times New Roman"/>
      <w:b/>
      <w:bCs/>
      <w:color w:val="000000"/>
      <w:sz w:val="20"/>
      <w:szCs w:val="20"/>
    </w:rPr>
  </w:style>
  <w:style w:type="paragraph" w:styleId="DocumentMap">
    <w:name w:val="Document Map"/>
    <w:basedOn w:val="Normal"/>
    <w:link w:val="DocumentMapChar"/>
    <w:uiPriority w:val="99"/>
    <w:semiHidden/>
    <w:unhideWhenUsed/>
    <w:rsid w:val="009A61C6"/>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A61C6"/>
    <w:rPr>
      <w:rFonts w:ascii="Lucida Grande" w:eastAsia="Times New Roman" w:hAnsi="Lucida Grande" w:cs="Lucida Grande"/>
      <w:color w:val="000000"/>
    </w:rPr>
  </w:style>
  <w:style w:type="character" w:styleId="IntenseEmphasis">
    <w:name w:val="Intense Emphasis"/>
    <w:basedOn w:val="SubtleEmphasis"/>
    <w:uiPriority w:val="21"/>
    <w:qFormat/>
    <w:rsid w:val="00110EC7"/>
    <w:rPr>
      <w:i/>
      <w:iCs/>
      <w:color w:val="365F91" w:themeColor="accent1" w:themeShade="BF"/>
    </w:rPr>
  </w:style>
  <w:style w:type="character" w:styleId="SubtleEmphasis">
    <w:name w:val="Subtle Emphasis"/>
    <w:basedOn w:val="DefaultParagraphFont"/>
    <w:uiPriority w:val="19"/>
    <w:qFormat/>
    <w:rsid w:val="00110EC7"/>
    <w:rPr>
      <w:i/>
      <w:iCs/>
      <w:color w:val="808080" w:themeColor="text1" w:themeTint="7F"/>
    </w:rPr>
  </w:style>
  <w:style w:type="character" w:styleId="Emphasis">
    <w:name w:val="Emphasis"/>
    <w:basedOn w:val="IntenseEmphasis"/>
    <w:uiPriority w:val="20"/>
    <w:qFormat/>
    <w:rsid w:val="005A2A36"/>
    <w:rPr>
      <w:i/>
      <w:iCs/>
      <w:color w:val="365F91" w:themeColor="accent1" w:themeShade="BF"/>
    </w:rPr>
  </w:style>
  <w:style w:type="paragraph" w:customStyle="1" w:styleId="FigureHeading">
    <w:name w:val="Figure Heading"/>
    <w:basedOn w:val="Normal"/>
    <w:qFormat/>
    <w:rsid w:val="00B743BA"/>
    <w:rPr>
      <w:b/>
      <w:sz w:val="20"/>
      <w:szCs w:val="20"/>
    </w:rPr>
  </w:style>
  <w:style w:type="character" w:customStyle="1" w:styleId="apple-tab-span">
    <w:name w:val="apple-tab-span"/>
    <w:basedOn w:val="DefaultParagraphFont"/>
    <w:rsid w:val="00834AD6"/>
  </w:style>
  <w:style w:type="paragraph" w:customStyle="1" w:styleId="NormalParagraphStyle">
    <w:name w:val="NormalParagraphStyle"/>
    <w:basedOn w:val="Normal"/>
    <w:rsid w:val="00876B3E"/>
    <w:pPr>
      <w:widowControl/>
      <w:spacing w:before="0" w:after="0" w:line="288" w:lineRule="auto"/>
      <w:textAlignment w:val="center"/>
    </w:pPr>
    <w:rPr>
      <w:rFonts w:ascii="Times New Roman" w:hAnsi="Times New Roman"/>
      <w:sz w:val="24"/>
      <w:szCs w:val="24"/>
    </w:rPr>
  </w:style>
  <w:style w:type="character" w:customStyle="1" w:styleId="TDnormalChar">
    <w:name w:val="TD normal Char"/>
    <w:basedOn w:val="DefaultParagraphFont"/>
    <w:link w:val="TDnormal"/>
    <w:rsid w:val="005661EE"/>
    <w:rPr>
      <w:rFonts w:ascii="Arial" w:hAnsi="Arial"/>
      <w:sz w:val="22"/>
    </w:rPr>
  </w:style>
  <w:style w:type="paragraph" w:customStyle="1" w:styleId="TDnormal">
    <w:name w:val="TD normal"/>
    <w:link w:val="TDnormalChar"/>
    <w:rsid w:val="005661EE"/>
    <w:pPr>
      <w:spacing w:before="60" w:after="60" w:line="288" w:lineRule="auto"/>
    </w:pPr>
    <w:rPr>
      <w:rFonts w:ascii="Arial" w:hAnsi="Arial"/>
      <w:sz w:val="22"/>
    </w:rPr>
  </w:style>
  <w:style w:type="paragraph" w:styleId="Revision">
    <w:name w:val="Revision"/>
    <w:hidden/>
    <w:uiPriority w:val="99"/>
    <w:semiHidden/>
    <w:rsid w:val="003566E1"/>
    <w:rPr>
      <w:rFonts w:asciiTheme="majorHAnsi" w:eastAsia="Times New Roman" w:hAnsiTheme="majorHAnsi" w:cs="Times New Roman"/>
      <w:color w:val="000000"/>
      <w:sz w:val="22"/>
      <w:szCs w:val="22"/>
    </w:rPr>
  </w:style>
  <w:style w:type="character" w:customStyle="1" w:styleId="Heading7Char">
    <w:name w:val="Heading 7 Char"/>
    <w:basedOn w:val="DefaultParagraphFont"/>
    <w:link w:val="Heading7"/>
    <w:uiPriority w:val="9"/>
    <w:rsid w:val="000E3F4B"/>
    <w:rPr>
      <w:rFonts w:asciiTheme="majorHAnsi" w:eastAsiaTheme="majorEastAsia" w:hAnsiTheme="majorHAnsi" w:cstheme="majorBidi"/>
      <w:i/>
      <w:iCs/>
      <w:color w:val="404040" w:themeColor="text1" w:themeTint="BF"/>
      <w:sz w:val="22"/>
      <w:szCs w:val="22"/>
    </w:rPr>
  </w:style>
  <w:style w:type="paragraph" w:styleId="Subtitle">
    <w:name w:val="Subtitle"/>
    <w:basedOn w:val="Normal"/>
    <w:next w:val="Normal"/>
    <w:link w:val="SubtitleChar"/>
    <w:uiPriority w:val="11"/>
    <w:qFormat/>
    <w:rsid w:val="00F8070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80703"/>
    <w:rPr>
      <w:rFonts w:asciiTheme="majorHAnsi" w:eastAsiaTheme="majorEastAsia" w:hAnsiTheme="majorHAnsi" w:cstheme="majorBidi"/>
      <w:i/>
      <w:iCs/>
      <w:color w:val="4F81BD" w:themeColor="accent1"/>
      <w:spacing w:val="15"/>
    </w:rPr>
  </w:style>
  <w:style w:type="character" w:styleId="FollowedHyperlink">
    <w:name w:val="FollowedHyperlink"/>
    <w:basedOn w:val="DefaultParagraphFont"/>
    <w:uiPriority w:val="99"/>
    <w:semiHidden/>
    <w:unhideWhenUsed/>
    <w:rsid w:val="00F61F3B"/>
    <w:rPr>
      <w:color w:val="800080" w:themeColor="followedHyperlink"/>
      <w:u w:val="single"/>
    </w:rPr>
  </w:style>
  <w:style w:type="paragraph" w:styleId="BodyTextIndent">
    <w:name w:val="Body Text Indent"/>
    <w:basedOn w:val="Normal"/>
    <w:link w:val="BodyTextIndentChar"/>
    <w:uiPriority w:val="99"/>
    <w:semiHidden/>
    <w:unhideWhenUsed/>
    <w:rsid w:val="009F11B4"/>
    <w:pPr>
      <w:ind w:left="360"/>
    </w:pPr>
  </w:style>
  <w:style w:type="character" w:customStyle="1" w:styleId="BodyTextIndentChar">
    <w:name w:val="Body Text Indent Char"/>
    <w:basedOn w:val="DefaultParagraphFont"/>
    <w:link w:val="BodyTextIndent"/>
    <w:uiPriority w:val="99"/>
    <w:semiHidden/>
    <w:rsid w:val="009F11B4"/>
    <w:rPr>
      <w:rFonts w:asciiTheme="majorHAnsi" w:eastAsia="Times New Roman" w:hAnsiTheme="majorHAnsi" w:cs="Times New Roman"/>
      <w:color w:val="000000"/>
      <w:sz w:val="22"/>
      <w:szCs w:val="22"/>
    </w:rPr>
  </w:style>
  <w:style w:type="paragraph" w:styleId="TOCHeading">
    <w:name w:val="TOC Heading"/>
    <w:basedOn w:val="Heading1"/>
    <w:next w:val="Normal"/>
    <w:uiPriority w:val="39"/>
    <w:unhideWhenUsed/>
    <w:qFormat/>
    <w:rsid w:val="00550039"/>
    <w:pPr>
      <w:widowControl/>
      <w:autoSpaceDE/>
      <w:autoSpaceDN/>
      <w:adjustRightInd/>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550039"/>
    <w:pPr>
      <w:spacing w:after="100"/>
    </w:pPr>
  </w:style>
  <w:style w:type="paragraph" w:styleId="TOC2">
    <w:name w:val="toc 2"/>
    <w:basedOn w:val="Normal"/>
    <w:next w:val="Normal"/>
    <w:autoRedefine/>
    <w:uiPriority w:val="39"/>
    <w:unhideWhenUsed/>
    <w:qFormat/>
    <w:rsid w:val="00550039"/>
    <w:pPr>
      <w:spacing w:after="100"/>
      <w:ind w:left="220"/>
    </w:pPr>
  </w:style>
  <w:style w:type="paragraph" w:styleId="TOC3">
    <w:name w:val="toc 3"/>
    <w:basedOn w:val="Normal"/>
    <w:next w:val="Normal"/>
    <w:autoRedefine/>
    <w:uiPriority w:val="39"/>
    <w:unhideWhenUsed/>
    <w:qFormat/>
    <w:rsid w:val="00550039"/>
    <w:pPr>
      <w:spacing w:after="100"/>
      <w:ind w:left="440"/>
    </w:pPr>
  </w:style>
  <w:style w:type="paragraph" w:styleId="Caption">
    <w:name w:val="caption"/>
    <w:basedOn w:val="Normal"/>
    <w:next w:val="Normal"/>
    <w:uiPriority w:val="35"/>
    <w:unhideWhenUsed/>
    <w:qFormat/>
    <w:rsid w:val="00550039"/>
    <w:pPr>
      <w:spacing w:before="0" w:after="200" w:line="240" w:lineRule="auto"/>
    </w:pPr>
    <w:rPr>
      <w:b/>
      <w:bCs/>
      <w:color w:val="4F81BD" w:themeColor="accent1"/>
      <w:sz w:val="18"/>
      <w:szCs w:val="18"/>
    </w:rPr>
  </w:style>
  <w:style w:type="table" w:styleId="LightShading-Accent1">
    <w:name w:val="Light Shading Accent 1"/>
    <w:basedOn w:val="TableNormal"/>
    <w:uiPriority w:val="60"/>
    <w:rsid w:val="0002307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0709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Web">
    <w:name w:val="Normal (Web)"/>
    <w:basedOn w:val="Normal"/>
    <w:uiPriority w:val="99"/>
    <w:semiHidden/>
    <w:unhideWhenUsed/>
    <w:rsid w:val="0062623E"/>
    <w:pPr>
      <w:widowControl/>
      <w:autoSpaceDE/>
      <w:autoSpaceDN/>
      <w:adjustRightInd/>
      <w:spacing w:before="100" w:beforeAutospacing="1" w:after="100" w:afterAutospacing="1" w:line="240" w:lineRule="auto"/>
    </w:pPr>
    <w:rPr>
      <w:rFonts w:ascii="Times New Roman" w:eastAsiaTheme="minorEastAsia" w:hAnsi="Times New Roman"/>
      <w:color w:val="auto"/>
      <w:sz w:val="24"/>
      <w:szCs w:val="24"/>
    </w:rPr>
  </w:style>
  <w:style w:type="paragraph" w:customStyle="1" w:styleId="Reference0">
    <w:name w:val="Reference"/>
    <w:basedOn w:val="BodyText"/>
    <w:qFormat/>
    <w:rsid w:val="00664C7F"/>
    <w:pPr>
      <w:spacing w:before="0" w:after="0" w:line="240" w:lineRule="auto"/>
    </w:pPr>
  </w:style>
  <w:style w:type="table" w:styleId="LightShading-Accent5">
    <w:name w:val="Light Shading Accent 5"/>
    <w:basedOn w:val="TableNormal"/>
    <w:uiPriority w:val="60"/>
    <w:rsid w:val="00C6457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412B62"/>
    <w:pPr>
      <w:autoSpaceDE w:val="0"/>
      <w:autoSpaceDN w:val="0"/>
      <w:adjustRightInd w:val="0"/>
    </w:pPr>
    <w:rPr>
      <w:rFonts w:ascii="Calibri" w:hAnsi="Calibri" w:cs="Calibri"/>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F67"/>
    <w:pPr>
      <w:widowControl w:val="0"/>
      <w:autoSpaceDE w:val="0"/>
      <w:autoSpaceDN w:val="0"/>
      <w:adjustRightInd w:val="0"/>
      <w:spacing w:before="120" w:after="120" w:line="276" w:lineRule="auto"/>
    </w:pPr>
    <w:rPr>
      <w:rFonts w:asciiTheme="majorHAnsi" w:eastAsia="Times New Roman" w:hAnsiTheme="majorHAnsi" w:cs="Times New Roman"/>
      <w:color w:val="000000"/>
      <w:sz w:val="22"/>
      <w:szCs w:val="22"/>
    </w:rPr>
  </w:style>
  <w:style w:type="paragraph" w:styleId="Heading1">
    <w:name w:val="heading 1"/>
    <w:basedOn w:val="Normal"/>
    <w:next w:val="Normal"/>
    <w:link w:val="Heading1Char"/>
    <w:uiPriority w:val="9"/>
    <w:qFormat/>
    <w:rsid w:val="00BF5F52"/>
    <w:pPr>
      <w:keepNext/>
      <w:keepLines/>
      <w:spacing w:before="480" w:after="0"/>
      <w:outlineLvl w:val="0"/>
    </w:pPr>
    <w:rPr>
      <w:rFonts w:eastAsiaTheme="majorEastAsia" w:cstheme="majorBidi"/>
      <w:b/>
      <w:bCs/>
      <w:color w:val="244061" w:themeColor="accent1" w:themeShade="80"/>
      <w:sz w:val="32"/>
      <w:szCs w:val="32"/>
    </w:rPr>
  </w:style>
  <w:style w:type="paragraph" w:styleId="Heading2">
    <w:name w:val="heading 2"/>
    <w:basedOn w:val="Heading3"/>
    <w:next w:val="Normal"/>
    <w:link w:val="Heading2Char"/>
    <w:uiPriority w:val="9"/>
    <w:unhideWhenUsed/>
    <w:qFormat/>
    <w:rsid w:val="001B2831"/>
    <w:pPr>
      <w:outlineLvl w:val="1"/>
    </w:pPr>
    <w:rPr>
      <w:sz w:val="28"/>
    </w:rPr>
  </w:style>
  <w:style w:type="paragraph" w:styleId="Heading3">
    <w:name w:val="heading 3"/>
    <w:basedOn w:val="Normal"/>
    <w:next w:val="Normal"/>
    <w:link w:val="Heading3Char"/>
    <w:qFormat/>
    <w:rsid w:val="00BF5F52"/>
    <w:pPr>
      <w:spacing w:before="240" w:after="60"/>
      <w:outlineLvl w:val="2"/>
    </w:pPr>
    <w:rPr>
      <w:rFonts w:ascii="Arial" w:eastAsia="Arial" w:hAnsi="Arial" w:cs="Arial"/>
      <w:b/>
      <w:bCs/>
      <w:color w:val="365F91" w:themeColor="accent1" w:themeShade="BF"/>
      <w:szCs w:val="26"/>
    </w:rPr>
  </w:style>
  <w:style w:type="paragraph" w:styleId="Heading4">
    <w:name w:val="heading 4"/>
    <w:basedOn w:val="Normal"/>
    <w:next w:val="Normal"/>
    <w:link w:val="Heading4Char"/>
    <w:uiPriority w:val="9"/>
    <w:unhideWhenUsed/>
    <w:qFormat/>
    <w:rsid w:val="00D97FF4"/>
    <w:pPr>
      <w:keepNext/>
      <w:keepLines/>
      <w:spacing w:before="200" w:after="0"/>
      <w:outlineLvl w:val="3"/>
    </w:pPr>
    <w:rPr>
      <w:rFonts w:eastAsiaTheme="majorEastAsia" w:cstheme="majorBidi"/>
      <w:b/>
      <w:bCs/>
      <w:i/>
      <w:iCs/>
      <w:color w:val="000000" w:themeColor="text1"/>
    </w:rPr>
  </w:style>
  <w:style w:type="paragraph" w:styleId="Heading5">
    <w:name w:val="heading 5"/>
    <w:basedOn w:val="Heading2"/>
    <w:next w:val="Normal"/>
    <w:link w:val="Heading5Char"/>
    <w:qFormat/>
    <w:rsid w:val="004B7A0C"/>
    <w:pPr>
      <w:pBdr>
        <w:bottom w:val="single" w:sz="18" w:space="1" w:color="244061" w:themeColor="accent1" w:themeShade="80"/>
      </w:pBdr>
      <w:outlineLvl w:val="4"/>
    </w:pPr>
    <w:rPr>
      <w:color w:val="17365D" w:themeColor="text2" w:themeShade="BF"/>
    </w:rPr>
  </w:style>
  <w:style w:type="paragraph" w:styleId="Heading6">
    <w:name w:val="heading 6"/>
    <w:basedOn w:val="Heading2"/>
    <w:next w:val="Normal"/>
    <w:link w:val="Heading6Char"/>
    <w:qFormat/>
    <w:rsid w:val="00265DD2"/>
    <w:pPr>
      <w:outlineLvl w:val="5"/>
    </w:pPr>
  </w:style>
  <w:style w:type="paragraph" w:styleId="Heading7">
    <w:name w:val="heading 7"/>
    <w:basedOn w:val="Normal"/>
    <w:next w:val="Normal"/>
    <w:link w:val="Heading7Char"/>
    <w:uiPriority w:val="9"/>
    <w:unhideWhenUsed/>
    <w:qFormat/>
    <w:rsid w:val="000E3F4B"/>
    <w:pPr>
      <w:keepNext/>
      <w:keepLines/>
      <w:spacing w:before="200" w:after="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F5F52"/>
    <w:rPr>
      <w:rFonts w:ascii="Arial" w:eastAsia="Arial" w:hAnsi="Arial" w:cs="Arial"/>
      <w:b/>
      <w:bCs/>
      <w:color w:val="365F91" w:themeColor="accent1" w:themeShade="BF"/>
      <w:sz w:val="22"/>
      <w:szCs w:val="26"/>
    </w:rPr>
  </w:style>
  <w:style w:type="character" w:customStyle="1" w:styleId="Heading5Char">
    <w:name w:val="Heading 5 Char"/>
    <w:basedOn w:val="DefaultParagraphFont"/>
    <w:link w:val="Heading5"/>
    <w:rsid w:val="004B7A0C"/>
    <w:rPr>
      <w:rFonts w:ascii="Arial" w:eastAsia="Arial" w:hAnsi="Arial" w:cs="Arial"/>
      <w:b/>
      <w:bCs/>
      <w:color w:val="17365D" w:themeColor="text2" w:themeShade="BF"/>
      <w:sz w:val="28"/>
      <w:szCs w:val="26"/>
    </w:rPr>
  </w:style>
  <w:style w:type="character" w:customStyle="1" w:styleId="Heading6Char">
    <w:name w:val="Heading 6 Char"/>
    <w:basedOn w:val="DefaultParagraphFont"/>
    <w:link w:val="Heading6"/>
    <w:rsid w:val="00265DD2"/>
    <w:rPr>
      <w:rFonts w:ascii="Arial" w:eastAsia="Arial" w:hAnsi="Arial" w:cs="Arial"/>
      <w:b/>
      <w:bCs/>
      <w:color w:val="365F91" w:themeColor="accent1" w:themeShade="BF"/>
      <w:sz w:val="28"/>
      <w:szCs w:val="26"/>
    </w:rPr>
  </w:style>
  <w:style w:type="paragraph" w:customStyle="1" w:styleId="TableHeader">
    <w:name w:val="Table Header"/>
    <w:basedOn w:val="Normal"/>
    <w:rsid w:val="008005E3"/>
    <w:rPr>
      <w:rFonts w:ascii="Calibri" w:hAnsi="Calibri"/>
      <w:b/>
      <w:color w:val="FFFFFF"/>
      <w:sz w:val="16"/>
    </w:rPr>
  </w:style>
  <w:style w:type="paragraph" w:customStyle="1" w:styleId="TableContent">
    <w:name w:val="Table Content"/>
    <w:basedOn w:val="Normal"/>
    <w:rsid w:val="008005E3"/>
    <w:rPr>
      <w:rFonts w:ascii="Calibri" w:hAnsi="Calibri"/>
      <w:sz w:val="16"/>
    </w:rPr>
  </w:style>
  <w:style w:type="character" w:styleId="Hyperlink">
    <w:name w:val="Hyperlink"/>
    <w:basedOn w:val="DefaultParagraphFont"/>
    <w:uiPriority w:val="99"/>
    <w:rsid w:val="008005E3"/>
    <w:rPr>
      <w:rFonts w:cs="Times New Roman"/>
      <w:color w:val="0000FF"/>
      <w:u w:val="single"/>
    </w:rPr>
  </w:style>
  <w:style w:type="paragraph" w:customStyle="1" w:styleId="Title-Figure">
    <w:name w:val="Title-Figure"/>
    <w:aliases w:val="FT*"/>
    <w:basedOn w:val="Normal"/>
    <w:next w:val="BodyText"/>
    <w:rsid w:val="008005E3"/>
    <w:pPr>
      <w:widowControl/>
      <w:autoSpaceDE/>
      <w:autoSpaceDN/>
      <w:adjustRightInd/>
      <w:spacing w:before="0" w:after="200"/>
      <w:ind w:left="1008" w:hanging="1008"/>
    </w:pPr>
    <w:rPr>
      <w:rFonts w:ascii="Calibri" w:hAnsi="Calibri"/>
      <w:b/>
      <w:color w:val="auto"/>
    </w:rPr>
  </w:style>
  <w:style w:type="paragraph" w:styleId="FootnoteText">
    <w:name w:val="footnote text"/>
    <w:basedOn w:val="Normal"/>
    <w:link w:val="FootnoteTextChar"/>
    <w:rsid w:val="008005E3"/>
    <w:pPr>
      <w:spacing w:before="60" w:after="60" w:line="240" w:lineRule="auto"/>
    </w:pPr>
    <w:rPr>
      <w:rFonts w:ascii="Calibri" w:hAnsi="Calibri"/>
      <w:szCs w:val="20"/>
    </w:rPr>
  </w:style>
  <w:style w:type="character" w:customStyle="1" w:styleId="FootnoteTextChar">
    <w:name w:val="Footnote Text Char"/>
    <w:basedOn w:val="DefaultParagraphFont"/>
    <w:link w:val="FootnoteText"/>
    <w:rsid w:val="008005E3"/>
    <w:rPr>
      <w:rFonts w:ascii="Calibri" w:eastAsia="Times New Roman" w:hAnsi="Calibri" w:cs="Times New Roman"/>
      <w:color w:val="000000"/>
      <w:sz w:val="18"/>
      <w:szCs w:val="20"/>
      <w:lang w:val="ru-RU"/>
    </w:rPr>
  </w:style>
  <w:style w:type="character" w:styleId="FootnoteReference">
    <w:name w:val="footnote reference"/>
    <w:basedOn w:val="DefaultParagraphFont"/>
    <w:rsid w:val="008005E3"/>
    <w:rPr>
      <w:rFonts w:ascii="Calibri" w:hAnsi="Calibri" w:cs="Times New Roman"/>
      <w:sz w:val="18"/>
      <w:vertAlign w:val="superscript"/>
    </w:rPr>
  </w:style>
  <w:style w:type="paragraph" w:customStyle="1" w:styleId="reference">
    <w:name w:val="reference"/>
    <w:basedOn w:val="Normal"/>
    <w:rsid w:val="008005E3"/>
    <w:pPr>
      <w:widowControl/>
      <w:autoSpaceDE/>
      <w:autoSpaceDN/>
      <w:adjustRightInd/>
      <w:spacing w:beforeLines="1" w:afterLines="1" w:line="240" w:lineRule="auto"/>
      <w:ind w:left="720" w:hanging="720"/>
    </w:pPr>
    <w:rPr>
      <w:rFonts w:ascii="Times" w:hAnsi="Times"/>
      <w:color w:val="auto"/>
      <w:sz w:val="20"/>
      <w:szCs w:val="20"/>
    </w:rPr>
  </w:style>
  <w:style w:type="paragraph" w:styleId="BodyText">
    <w:name w:val="Body Text"/>
    <w:basedOn w:val="Normal"/>
    <w:link w:val="BodyTextChar"/>
    <w:uiPriority w:val="99"/>
    <w:semiHidden/>
    <w:unhideWhenUsed/>
    <w:rsid w:val="008005E3"/>
  </w:style>
  <w:style w:type="character" w:customStyle="1" w:styleId="BodyTextChar">
    <w:name w:val="Body Text Char"/>
    <w:basedOn w:val="DefaultParagraphFont"/>
    <w:link w:val="BodyText"/>
    <w:uiPriority w:val="99"/>
    <w:semiHidden/>
    <w:rsid w:val="008005E3"/>
    <w:rPr>
      <w:rFonts w:ascii="Georgia" w:eastAsia="Times New Roman" w:hAnsi="Georgia" w:cs="Times New Roman"/>
      <w:color w:val="000000"/>
      <w:sz w:val="18"/>
      <w:lang w:val="ru-RU"/>
    </w:rPr>
  </w:style>
  <w:style w:type="character" w:customStyle="1" w:styleId="Heading1Char">
    <w:name w:val="Heading 1 Char"/>
    <w:basedOn w:val="DefaultParagraphFont"/>
    <w:link w:val="Heading1"/>
    <w:uiPriority w:val="9"/>
    <w:rsid w:val="00BF5F52"/>
    <w:rPr>
      <w:rFonts w:asciiTheme="majorHAnsi" w:eastAsiaTheme="majorEastAsia" w:hAnsiTheme="majorHAnsi" w:cstheme="majorBidi"/>
      <w:b/>
      <w:bCs/>
      <w:color w:val="244061" w:themeColor="accent1" w:themeShade="80"/>
      <w:sz w:val="32"/>
      <w:szCs w:val="32"/>
    </w:rPr>
  </w:style>
  <w:style w:type="character" w:customStyle="1" w:styleId="Heading2Char">
    <w:name w:val="Heading 2 Char"/>
    <w:basedOn w:val="DefaultParagraphFont"/>
    <w:link w:val="Heading2"/>
    <w:uiPriority w:val="9"/>
    <w:rsid w:val="001B2831"/>
    <w:rPr>
      <w:rFonts w:ascii="Arial" w:eastAsia="Arial" w:hAnsi="Arial" w:cs="Arial"/>
      <w:b/>
      <w:bCs/>
      <w:color w:val="365F91" w:themeColor="accent1" w:themeShade="BF"/>
      <w:sz w:val="28"/>
      <w:szCs w:val="26"/>
    </w:rPr>
  </w:style>
  <w:style w:type="paragraph" w:styleId="Header">
    <w:name w:val="header"/>
    <w:basedOn w:val="Normal"/>
    <w:link w:val="HeaderChar"/>
    <w:unhideWhenUsed/>
    <w:rsid w:val="00D70570"/>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D70570"/>
    <w:rPr>
      <w:rFonts w:ascii="Georgia" w:eastAsia="Times New Roman" w:hAnsi="Georgia" w:cs="Times New Roman"/>
      <w:color w:val="000000"/>
      <w:sz w:val="18"/>
      <w:lang w:val="ru-RU"/>
    </w:rPr>
  </w:style>
  <w:style w:type="paragraph" w:styleId="Footer">
    <w:name w:val="footer"/>
    <w:basedOn w:val="Normal"/>
    <w:link w:val="FooterChar"/>
    <w:unhideWhenUsed/>
    <w:rsid w:val="00D70570"/>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D70570"/>
    <w:rPr>
      <w:rFonts w:ascii="Georgia" w:eastAsia="Times New Roman" w:hAnsi="Georgia" w:cs="Times New Roman"/>
      <w:color w:val="000000"/>
      <w:sz w:val="18"/>
      <w:lang w:val="ru-RU"/>
    </w:rPr>
  </w:style>
  <w:style w:type="character" w:styleId="PageNumber">
    <w:name w:val="page number"/>
    <w:basedOn w:val="DefaultParagraphFont"/>
    <w:unhideWhenUsed/>
    <w:rsid w:val="00D70570"/>
  </w:style>
  <w:style w:type="paragraph" w:styleId="ListParagraph">
    <w:name w:val="List Paragraph"/>
    <w:basedOn w:val="Normal"/>
    <w:uiPriority w:val="34"/>
    <w:qFormat/>
    <w:rsid w:val="00733246"/>
    <w:pPr>
      <w:ind w:left="720"/>
      <w:contextualSpacing/>
    </w:pPr>
  </w:style>
  <w:style w:type="table" w:styleId="TableGrid">
    <w:name w:val="Table Grid"/>
    <w:basedOn w:val="TableNormal"/>
    <w:uiPriority w:val="59"/>
    <w:rsid w:val="00D84F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97FF4"/>
    <w:rPr>
      <w:rFonts w:asciiTheme="majorHAnsi" w:eastAsiaTheme="majorEastAsia" w:hAnsiTheme="majorHAnsi" w:cstheme="majorBidi"/>
      <w:b/>
      <w:bCs/>
      <w:i/>
      <w:iCs/>
      <w:color w:val="000000" w:themeColor="text1"/>
      <w:sz w:val="22"/>
      <w:szCs w:val="22"/>
    </w:rPr>
  </w:style>
  <w:style w:type="paragraph" w:styleId="BalloonText">
    <w:name w:val="Balloon Text"/>
    <w:basedOn w:val="Normal"/>
    <w:link w:val="BalloonTextChar"/>
    <w:uiPriority w:val="99"/>
    <w:semiHidden/>
    <w:unhideWhenUsed/>
    <w:rsid w:val="00D6746E"/>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746E"/>
    <w:rPr>
      <w:rFonts w:ascii="Lucida Grande" w:eastAsia="Times New Roman" w:hAnsi="Lucida Grande" w:cs="Lucida Grande"/>
      <w:color w:val="000000"/>
      <w:sz w:val="18"/>
      <w:szCs w:val="18"/>
    </w:rPr>
  </w:style>
  <w:style w:type="character" w:styleId="CommentReference">
    <w:name w:val="annotation reference"/>
    <w:basedOn w:val="DefaultParagraphFont"/>
    <w:unhideWhenUsed/>
    <w:rsid w:val="00284A3C"/>
    <w:rPr>
      <w:sz w:val="18"/>
      <w:szCs w:val="18"/>
    </w:rPr>
  </w:style>
  <w:style w:type="paragraph" w:styleId="CommentText">
    <w:name w:val="annotation text"/>
    <w:basedOn w:val="Normal"/>
    <w:link w:val="CommentTextChar"/>
    <w:uiPriority w:val="99"/>
    <w:unhideWhenUsed/>
    <w:rsid w:val="00284A3C"/>
    <w:pPr>
      <w:spacing w:line="240" w:lineRule="auto"/>
    </w:pPr>
    <w:rPr>
      <w:sz w:val="24"/>
      <w:szCs w:val="24"/>
    </w:rPr>
  </w:style>
  <w:style w:type="character" w:customStyle="1" w:styleId="CommentTextChar">
    <w:name w:val="Comment Text Char"/>
    <w:basedOn w:val="DefaultParagraphFont"/>
    <w:link w:val="CommentText"/>
    <w:uiPriority w:val="99"/>
    <w:rsid w:val="00284A3C"/>
    <w:rPr>
      <w:rFonts w:asciiTheme="majorHAnsi" w:eastAsia="Times New Roman" w:hAnsiTheme="majorHAnsi" w:cs="Times New Roman"/>
      <w:color w:val="000000"/>
    </w:rPr>
  </w:style>
  <w:style w:type="paragraph" w:styleId="CommentSubject">
    <w:name w:val="annotation subject"/>
    <w:basedOn w:val="CommentText"/>
    <w:next w:val="CommentText"/>
    <w:link w:val="CommentSubjectChar"/>
    <w:uiPriority w:val="99"/>
    <w:semiHidden/>
    <w:unhideWhenUsed/>
    <w:rsid w:val="00284A3C"/>
    <w:rPr>
      <w:b/>
      <w:bCs/>
      <w:sz w:val="20"/>
      <w:szCs w:val="20"/>
    </w:rPr>
  </w:style>
  <w:style w:type="character" w:customStyle="1" w:styleId="CommentSubjectChar">
    <w:name w:val="Comment Subject Char"/>
    <w:basedOn w:val="CommentTextChar"/>
    <w:link w:val="CommentSubject"/>
    <w:uiPriority w:val="99"/>
    <w:semiHidden/>
    <w:rsid w:val="00284A3C"/>
    <w:rPr>
      <w:rFonts w:asciiTheme="majorHAnsi" w:eastAsia="Times New Roman" w:hAnsiTheme="majorHAnsi" w:cs="Times New Roman"/>
      <w:b/>
      <w:bCs/>
      <w:color w:val="000000"/>
      <w:sz w:val="20"/>
      <w:szCs w:val="20"/>
    </w:rPr>
  </w:style>
  <w:style w:type="paragraph" w:styleId="DocumentMap">
    <w:name w:val="Document Map"/>
    <w:basedOn w:val="Normal"/>
    <w:link w:val="DocumentMapChar"/>
    <w:uiPriority w:val="99"/>
    <w:semiHidden/>
    <w:unhideWhenUsed/>
    <w:rsid w:val="009A61C6"/>
    <w:pPr>
      <w:spacing w:before="0"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A61C6"/>
    <w:rPr>
      <w:rFonts w:ascii="Lucida Grande" w:eastAsia="Times New Roman" w:hAnsi="Lucida Grande" w:cs="Lucida Grande"/>
      <w:color w:val="000000"/>
    </w:rPr>
  </w:style>
  <w:style w:type="character" w:styleId="IntenseEmphasis">
    <w:name w:val="Intense Emphasis"/>
    <w:basedOn w:val="SubtleEmphasis"/>
    <w:uiPriority w:val="21"/>
    <w:qFormat/>
    <w:rsid w:val="00110EC7"/>
    <w:rPr>
      <w:i/>
      <w:iCs/>
      <w:color w:val="365F91" w:themeColor="accent1" w:themeShade="BF"/>
    </w:rPr>
  </w:style>
  <w:style w:type="character" w:styleId="SubtleEmphasis">
    <w:name w:val="Subtle Emphasis"/>
    <w:basedOn w:val="DefaultParagraphFont"/>
    <w:uiPriority w:val="19"/>
    <w:qFormat/>
    <w:rsid w:val="00110EC7"/>
    <w:rPr>
      <w:i/>
      <w:iCs/>
      <w:color w:val="808080" w:themeColor="text1" w:themeTint="7F"/>
    </w:rPr>
  </w:style>
  <w:style w:type="character" w:styleId="Emphasis">
    <w:name w:val="Emphasis"/>
    <w:basedOn w:val="IntenseEmphasis"/>
    <w:uiPriority w:val="20"/>
    <w:qFormat/>
    <w:rsid w:val="005A2A36"/>
    <w:rPr>
      <w:i/>
      <w:iCs/>
      <w:color w:val="365F91" w:themeColor="accent1" w:themeShade="BF"/>
    </w:rPr>
  </w:style>
  <w:style w:type="paragraph" w:customStyle="1" w:styleId="FigureHeading">
    <w:name w:val="Figure Heading"/>
    <w:basedOn w:val="Normal"/>
    <w:qFormat/>
    <w:rsid w:val="00B743BA"/>
    <w:rPr>
      <w:b/>
      <w:sz w:val="20"/>
      <w:szCs w:val="20"/>
    </w:rPr>
  </w:style>
  <w:style w:type="character" w:customStyle="1" w:styleId="apple-tab-span">
    <w:name w:val="apple-tab-span"/>
    <w:basedOn w:val="DefaultParagraphFont"/>
    <w:rsid w:val="00834AD6"/>
  </w:style>
  <w:style w:type="paragraph" w:customStyle="1" w:styleId="NormalParagraphStyle">
    <w:name w:val="NormalParagraphStyle"/>
    <w:basedOn w:val="Normal"/>
    <w:rsid w:val="00876B3E"/>
    <w:pPr>
      <w:widowControl/>
      <w:spacing w:before="0" w:after="0" w:line="288" w:lineRule="auto"/>
      <w:textAlignment w:val="center"/>
    </w:pPr>
    <w:rPr>
      <w:rFonts w:ascii="Times New Roman" w:hAnsi="Times New Roman"/>
      <w:sz w:val="24"/>
      <w:szCs w:val="24"/>
    </w:rPr>
  </w:style>
  <w:style w:type="character" w:customStyle="1" w:styleId="TDnormalChar">
    <w:name w:val="TD normal Char"/>
    <w:basedOn w:val="DefaultParagraphFont"/>
    <w:link w:val="TDnormal"/>
    <w:rsid w:val="005661EE"/>
    <w:rPr>
      <w:rFonts w:ascii="Arial" w:hAnsi="Arial"/>
      <w:sz w:val="22"/>
    </w:rPr>
  </w:style>
  <w:style w:type="paragraph" w:customStyle="1" w:styleId="TDnormal">
    <w:name w:val="TD normal"/>
    <w:link w:val="TDnormalChar"/>
    <w:rsid w:val="005661EE"/>
    <w:pPr>
      <w:spacing w:before="60" w:after="60" w:line="288" w:lineRule="auto"/>
    </w:pPr>
    <w:rPr>
      <w:rFonts w:ascii="Arial" w:hAnsi="Arial"/>
      <w:sz w:val="22"/>
    </w:rPr>
  </w:style>
  <w:style w:type="paragraph" w:styleId="Revision">
    <w:name w:val="Revision"/>
    <w:hidden/>
    <w:uiPriority w:val="99"/>
    <w:semiHidden/>
    <w:rsid w:val="003566E1"/>
    <w:rPr>
      <w:rFonts w:asciiTheme="majorHAnsi" w:eastAsia="Times New Roman" w:hAnsiTheme="majorHAnsi" w:cs="Times New Roman"/>
      <w:color w:val="000000"/>
      <w:sz w:val="22"/>
      <w:szCs w:val="22"/>
    </w:rPr>
  </w:style>
  <w:style w:type="character" w:customStyle="1" w:styleId="Heading7Char">
    <w:name w:val="Heading 7 Char"/>
    <w:basedOn w:val="DefaultParagraphFont"/>
    <w:link w:val="Heading7"/>
    <w:uiPriority w:val="9"/>
    <w:rsid w:val="000E3F4B"/>
    <w:rPr>
      <w:rFonts w:asciiTheme="majorHAnsi" w:eastAsiaTheme="majorEastAsia" w:hAnsiTheme="majorHAnsi" w:cstheme="majorBidi"/>
      <w:i/>
      <w:iCs/>
      <w:color w:val="404040" w:themeColor="text1" w:themeTint="BF"/>
      <w:sz w:val="22"/>
      <w:szCs w:val="22"/>
    </w:rPr>
  </w:style>
  <w:style w:type="paragraph" w:styleId="Subtitle">
    <w:name w:val="Subtitle"/>
    <w:basedOn w:val="Normal"/>
    <w:next w:val="Normal"/>
    <w:link w:val="SubtitleChar"/>
    <w:uiPriority w:val="11"/>
    <w:qFormat/>
    <w:rsid w:val="00F8070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80703"/>
    <w:rPr>
      <w:rFonts w:asciiTheme="majorHAnsi" w:eastAsiaTheme="majorEastAsia" w:hAnsiTheme="majorHAnsi" w:cstheme="majorBidi"/>
      <w:i/>
      <w:iCs/>
      <w:color w:val="4F81BD" w:themeColor="accent1"/>
      <w:spacing w:val="15"/>
    </w:rPr>
  </w:style>
  <w:style w:type="character" w:styleId="FollowedHyperlink">
    <w:name w:val="FollowedHyperlink"/>
    <w:basedOn w:val="DefaultParagraphFont"/>
    <w:uiPriority w:val="99"/>
    <w:semiHidden/>
    <w:unhideWhenUsed/>
    <w:rsid w:val="00F61F3B"/>
    <w:rPr>
      <w:color w:val="800080" w:themeColor="followedHyperlink"/>
      <w:u w:val="single"/>
    </w:rPr>
  </w:style>
  <w:style w:type="paragraph" w:styleId="BodyTextIndent">
    <w:name w:val="Body Text Indent"/>
    <w:basedOn w:val="Normal"/>
    <w:link w:val="BodyTextIndentChar"/>
    <w:uiPriority w:val="99"/>
    <w:semiHidden/>
    <w:unhideWhenUsed/>
    <w:rsid w:val="009F11B4"/>
    <w:pPr>
      <w:ind w:left="360"/>
    </w:pPr>
  </w:style>
  <w:style w:type="character" w:customStyle="1" w:styleId="BodyTextIndentChar">
    <w:name w:val="Body Text Indent Char"/>
    <w:basedOn w:val="DefaultParagraphFont"/>
    <w:link w:val="BodyTextIndent"/>
    <w:uiPriority w:val="99"/>
    <w:semiHidden/>
    <w:rsid w:val="009F11B4"/>
    <w:rPr>
      <w:rFonts w:asciiTheme="majorHAnsi" w:eastAsia="Times New Roman" w:hAnsiTheme="majorHAnsi" w:cs="Times New Roman"/>
      <w:color w:val="000000"/>
      <w:sz w:val="22"/>
      <w:szCs w:val="22"/>
    </w:rPr>
  </w:style>
  <w:style w:type="paragraph" w:styleId="TOCHeading">
    <w:name w:val="TOC Heading"/>
    <w:basedOn w:val="Heading1"/>
    <w:next w:val="Normal"/>
    <w:uiPriority w:val="39"/>
    <w:unhideWhenUsed/>
    <w:qFormat/>
    <w:rsid w:val="00550039"/>
    <w:pPr>
      <w:widowControl/>
      <w:autoSpaceDE/>
      <w:autoSpaceDN/>
      <w:adjustRightInd/>
      <w:outlineLvl w:val="9"/>
    </w:pPr>
    <w:rPr>
      <w:color w:val="365F91" w:themeColor="accent1" w:themeShade="BF"/>
      <w:sz w:val="28"/>
      <w:szCs w:val="28"/>
      <w:lang w:eastAsia="ja-JP"/>
    </w:rPr>
  </w:style>
  <w:style w:type="paragraph" w:styleId="TOC1">
    <w:name w:val="toc 1"/>
    <w:basedOn w:val="Normal"/>
    <w:next w:val="Normal"/>
    <w:autoRedefine/>
    <w:uiPriority w:val="39"/>
    <w:unhideWhenUsed/>
    <w:qFormat/>
    <w:rsid w:val="00550039"/>
    <w:pPr>
      <w:spacing w:after="100"/>
    </w:pPr>
  </w:style>
  <w:style w:type="paragraph" w:styleId="TOC2">
    <w:name w:val="toc 2"/>
    <w:basedOn w:val="Normal"/>
    <w:next w:val="Normal"/>
    <w:autoRedefine/>
    <w:uiPriority w:val="39"/>
    <w:unhideWhenUsed/>
    <w:qFormat/>
    <w:rsid w:val="00550039"/>
    <w:pPr>
      <w:spacing w:after="100"/>
      <w:ind w:left="220"/>
    </w:pPr>
  </w:style>
  <w:style w:type="paragraph" w:styleId="TOC3">
    <w:name w:val="toc 3"/>
    <w:basedOn w:val="Normal"/>
    <w:next w:val="Normal"/>
    <w:autoRedefine/>
    <w:uiPriority w:val="39"/>
    <w:unhideWhenUsed/>
    <w:qFormat/>
    <w:rsid w:val="00550039"/>
    <w:pPr>
      <w:spacing w:after="100"/>
      <w:ind w:left="440"/>
    </w:pPr>
  </w:style>
  <w:style w:type="paragraph" w:styleId="Caption">
    <w:name w:val="caption"/>
    <w:basedOn w:val="Normal"/>
    <w:next w:val="Normal"/>
    <w:uiPriority w:val="35"/>
    <w:unhideWhenUsed/>
    <w:qFormat/>
    <w:rsid w:val="00550039"/>
    <w:pPr>
      <w:spacing w:before="0" w:after="200" w:line="240" w:lineRule="auto"/>
    </w:pPr>
    <w:rPr>
      <w:b/>
      <w:bCs/>
      <w:color w:val="4F81BD" w:themeColor="accent1"/>
      <w:sz w:val="18"/>
      <w:szCs w:val="18"/>
    </w:rPr>
  </w:style>
  <w:style w:type="table" w:styleId="LightShading-Accent1">
    <w:name w:val="Light Shading Accent 1"/>
    <w:basedOn w:val="TableNormal"/>
    <w:uiPriority w:val="60"/>
    <w:rsid w:val="0002307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0709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alWeb">
    <w:name w:val="Normal (Web)"/>
    <w:basedOn w:val="Normal"/>
    <w:uiPriority w:val="99"/>
    <w:semiHidden/>
    <w:unhideWhenUsed/>
    <w:rsid w:val="0062623E"/>
    <w:pPr>
      <w:widowControl/>
      <w:autoSpaceDE/>
      <w:autoSpaceDN/>
      <w:adjustRightInd/>
      <w:spacing w:before="100" w:beforeAutospacing="1" w:after="100" w:afterAutospacing="1" w:line="240" w:lineRule="auto"/>
    </w:pPr>
    <w:rPr>
      <w:rFonts w:ascii="Times New Roman" w:eastAsiaTheme="minorEastAsia" w:hAnsi="Times New Roman"/>
      <w:color w:val="auto"/>
      <w:sz w:val="24"/>
      <w:szCs w:val="24"/>
    </w:rPr>
  </w:style>
  <w:style w:type="paragraph" w:customStyle="1" w:styleId="Reference0">
    <w:name w:val="Reference"/>
    <w:basedOn w:val="BodyText"/>
    <w:qFormat/>
    <w:rsid w:val="00664C7F"/>
    <w:pPr>
      <w:spacing w:before="0" w:after="0" w:line="240" w:lineRule="auto"/>
    </w:pPr>
  </w:style>
  <w:style w:type="table" w:styleId="LightShading-Accent5">
    <w:name w:val="Light Shading Accent 5"/>
    <w:basedOn w:val="TableNormal"/>
    <w:uiPriority w:val="60"/>
    <w:rsid w:val="00C6457B"/>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Default">
    <w:name w:val="Default"/>
    <w:rsid w:val="00412B62"/>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13400">
      <w:bodyDiv w:val="1"/>
      <w:marLeft w:val="0"/>
      <w:marRight w:val="0"/>
      <w:marTop w:val="0"/>
      <w:marBottom w:val="0"/>
      <w:divBdr>
        <w:top w:val="none" w:sz="0" w:space="0" w:color="auto"/>
        <w:left w:val="none" w:sz="0" w:space="0" w:color="auto"/>
        <w:bottom w:val="none" w:sz="0" w:space="0" w:color="auto"/>
        <w:right w:val="none" w:sz="0" w:space="0" w:color="auto"/>
      </w:divBdr>
    </w:div>
    <w:div w:id="241767455">
      <w:bodyDiv w:val="1"/>
      <w:marLeft w:val="0"/>
      <w:marRight w:val="0"/>
      <w:marTop w:val="0"/>
      <w:marBottom w:val="0"/>
      <w:divBdr>
        <w:top w:val="none" w:sz="0" w:space="0" w:color="auto"/>
        <w:left w:val="none" w:sz="0" w:space="0" w:color="auto"/>
        <w:bottom w:val="none" w:sz="0" w:space="0" w:color="auto"/>
        <w:right w:val="none" w:sz="0" w:space="0" w:color="auto"/>
      </w:divBdr>
    </w:div>
    <w:div w:id="259727160">
      <w:bodyDiv w:val="1"/>
      <w:marLeft w:val="0"/>
      <w:marRight w:val="0"/>
      <w:marTop w:val="0"/>
      <w:marBottom w:val="0"/>
      <w:divBdr>
        <w:top w:val="none" w:sz="0" w:space="0" w:color="auto"/>
        <w:left w:val="none" w:sz="0" w:space="0" w:color="auto"/>
        <w:bottom w:val="none" w:sz="0" w:space="0" w:color="auto"/>
        <w:right w:val="none" w:sz="0" w:space="0" w:color="auto"/>
      </w:divBdr>
      <w:divsChild>
        <w:div w:id="146670933">
          <w:marLeft w:val="0"/>
          <w:marRight w:val="0"/>
          <w:marTop w:val="0"/>
          <w:marBottom w:val="0"/>
          <w:divBdr>
            <w:top w:val="none" w:sz="0" w:space="0" w:color="auto"/>
            <w:left w:val="none" w:sz="0" w:space="0" w:color="auto"/>
            <w:bottom w:val="none" w:sz="0" w:space="0" w:color="auto"/>
            <w:right w:val="none" w:sz="0" w:space="0" w:color="auto"/>
          </w:divBdr>
        </w:div>
      </w:divsChild>
    </w:div>
    <w:div w:id="342825318">
      <w:bodyDiv w:val="1"/>
      <w:marLeft w:val="0"/>
      <w:marRight w:val="0"/>
      <w:marTop w:val="0"/>
      <w:marBottom w:val="0"/>
      <w:divBdr>
        <w:top w:val="none" w:sz="0" w:space="0" w:color="auto"/>
        <w:left w:val="none" w:sz="0" w:space="0" w:color="auto"/>
        <w:bottom w:val="none" w:sz="0" w:space="0" w:color="auto"/>
        <w:right w:val="none" w:sz="0" w:space="0" w:color="auto"/>
      </w:divBdr>
    </w:div>
    <w:div w:id="385835757">
      <w:bodyDiv w:val="1"/>
      <w:marLeft w:val="0"/>
      <w:marRight w:val="0"/>
      <w:marTop w:val="0"/>
      <w:marBottom w:val="0"/>
      <w:divBdr>
        <w:top w:val="none" w:sz="0" w:space="0" w:color="auto"/>
        <w:left w:val="none" w:sz="0" w:space="0" w:color="auto"/>
        <w:bottom w:val="none" w:sz="0" w:space="0" w:color="auto"/>
        <w:right w:val="none" w:sz="0" w:space="0" w:color="auto"/>
      </w:divBdr>
      <w:divsChild>
        <w:div w:id="1203638904">
          <w:marLeft w:val="0"/>
          <w:marRight w:val="0"/>
          <w:marTop w:val="0"/>
          <w:marBottom w:val="0"/>
          <w:divBdr>
            <w:top w:val="none" w:sz="0" w:space="0" w:color="auto"/>
            <w:left w:val="none" w:sz="0" w:space="0" w:color="auto"/>
            <w:bottom w:val="none" w:sz="0" w:space="0" w:color="auto"/>
            <w:right w:val="none" w:sz="0" w:space="0" w:color="auto"/>
          </w:divBdr>
        </w:div>
      </w:divsChild>
    </w:div>
    <w:div w:id="426006062">
      <w:bodyDiv w:val="1"/>
      <w:marLeft w:val="0"/>
      <w:marRight w:val="0"/>
      <w:marTop w:val="0"/>
      <w:marBottom w:val="0"/>
      <w:divBdr>
        <w:top w:val="none" w:sz="0" w:space="0" w:color="auto"/>
        <w:left w:val="none" w:sz="0" w:space="0" w:color="auto"/>
        <w:bottom w:val="none" w:sz="0" w:space="0" w:color="auto"/>
        <w:right w:val="none" w:sz="0" w:space="0" w:color="auto"/>
      </w:divBdr>
    </w:div>
    <w:div w:id="525562910">
      <w:bodyDiv w:val="1"/>
      <w:marLeft w:val="0"/>
      <w:marRight w:val="0"/>
      <w:marTop w:val="0"/>
      <w:marBottom w:val="0"/>
      <w:divBdr>
        <w:top w:val="none" w:sz="0" w:space="0" w:color="auto"/>
        <w:left w:val="none" w:sz="0" w:space="0" w:color="auto"/>
        <w:bottom w:val="none" w:sz="0" w:space="0" w:color="auto"/>
        <w:right w:val="none" w:sz="0" w:space="0" w:color="auto"/>
      </w:divBdr>
      <w:divsChild>
        <w:div w:id="596258947">
          <w:marLeft w:val="547"/>
          <w:marRight w:val="0"/>
          <w:marTop w:val="154"/>
          <w:marBottom w:val="0"/>
          <w:divBdr>
            <w:top w:val="none" w:sz="0" w:space="0" w:color="auto"/>
            <w:left w:val="none" w:sz="0" w:space="0" w:color="auto"/>
            <w:bottom w:val="none" w:sz="0" w:space="0" w:color="auto"/>
            <w:right w:val="none" w:sz="0" w:space="0" w:color="auto"/>
          </w:divBdr>
        </w:div>
        <w:div w:id="2135295076">
          <w:marLeft w:val="1166"/>
          <w:marRight w:val="0"/>
          <w:marTop w:val="115"/>
          <w:marBottom w:val="0"/>
          <w:divBdr>
            <w:top w:val="none" w:sz="0" w:space="0" w:color="auto"/>
            <w:left w:val="none" w:sz="0" w:space="0" w:color="auto"/>
            <w:bottom w:val="none" w:sz="0" w:space="0" w:color="auto"/>
            <w:right w:val="none" w:sz="0" w:space="0" w:color="auto"/>
          </w:divBdr>
        </w:div>
        <w:div w:id="1962104396">
          <w:marLeft w:val="1166"/>
          <w:marRight w:val="0"/>
          <w:marTop w:val="115"/>
          <w:marBottom w:val="0"/>
          <w:divBdr>
            <w:top w:val="none" w:sz="0" w:space="0" w:color="auto"/>
            <w:left w:val="none" w:sz="0" w:space="0" w:color="auto"/>
            <w:bottom w:val="none" w:sz="0" w:space="0" w:color="auto"/>
            <w:right w:val="none" w:sz="0" w:space="0" w:color="auto"/>
          </w:divBdr>
        </w:div>
        <w:div w:id="465781942">
          <w:marLeft w:val="1166"/>
          <w:marRight w:val="0"/>
          <w:marTop w:val="115"/>
          <w:marBottom w:val="0"/>
          <w:divBdr>
            <w:top w:val="none" w:sz="0" w:space="0" w:color="auto"/>
            <w:left w:val="none" w:sz="0" w:space="0" w:color="auto"/>
            <w:bottom w:val="none" w:sz="0" w:space="0" w:color="auto"/>
            <w:right w:val="none" w:sz="0" w:space="0" w:color="auto"/>
          </w:divBdr>
        </w:div>
      </w:divsChild>
    </w:div>
    <w:div w:id="526605502">
      <w:bodyDiv w:val="1"/>
      <w:marLeft w:val="0"/>
      <w:marRight w:val="0"/>
      <w:marTop w:val="0"/>
      <w:marBottom w:val="0"/>
      <w:divBdr>
        <w:top w:val="none" w:sz="0" w:space="0" w:color="auto"/>
        <w:left w:val="none" w:sz="0" w:space="0" w:color="auto"/>
        <w:bottom w:val="none" w:sz="0" w:space="0" w:color="auto"/>
        <w:right w:val="none" w:sz="0" w:space="0" w:color="auto"/>
      </w:divBdr>
      <w:divsChild>
        <w:div w:id="2075732395">
          <w:marLeft w:val="0"/>
          <w:marRight w:val="0"/>
          <w:marTop w:val="0"/>
          <w:marBottom w:val="0"/>
          <w:divBdr>
            <w:top w:val="none" w:sz="0" w:space="0" w:color="auto"/>
            <w:left w:val="none" w:sz="0" w:space="0" w:color="auto"/>
            <w:bottom w:val="none" w:sz="0" w:space="0" w:color="auto"/>
            <w:right w:val="none" w:sz="0" w:space="0" w:color="auto"/>
          </w:divBdr>
        </w:div>
      </w:divsChild>
    </w:div>
    <w:div w:id="544871562">
      <w:bodyDiv w:val="1"/>
      <w:marLeft w:val="0"/>
      <w:marRight w:val="0"/>
      <w:marTop w:val="0"/>
      <w:marBottom w:val="0"/>
      <w:divBdr>
        <w:top w:val="none" w:sz="0" w:space="0" w:color="auto"/>
        <w:left w:val="none" w:sz="0" w:space="0" w:color="auto"/>
        <w:bottom w:val="none" w:sz="0" w:space="0" w:color="auto"/>
        <w:right w:val="none" w:sz="0" w:space="0" w:color="auto"/>
      </w:divBdr>
    </w:div>
    <w:div w:id="570312647">
      <w:bodyDiv w:val="1"/>
      <w:marLeft w:val="0"/>
      <w:marRight w:val="0"/>
      <w:marTop w:val="0"/>
      <w:marBottom w:val="0"/>
      <w:divBdr>
        <w:top w:val="none" w:sz="0" w:space="0" w:color="auto"/>
        <w:left w:val="none" w:sz="0" w:space="0" w:color="auto"/>
        <w:bottom w:val="none" w:sz="0" w:space="0" w:color="auto"/>
        <w:right w:val="none" w:sz="0" w:space="0" w:color="auto"/>
      </w:divBdr>
    </w:div>
    <w:div w:id="631983412">
      <w:bodyDiv w:val="1"/>
      <w:marLeft w:val="0"/>
      <w:marRight w:val="0"/>
      <w:marTop w:val="0"/>
      <w:marBottom w:val="0"/>
      <w:divBdr>
        <w:top w:val="none" w:sz="0" w:space="0" w:color="auto"/>
        <w:left w:val="none" w:sz="0" w:space="0" w:color="auto"/>
        <w:bottom w:val="none" w:sz="0" w:space="0" w:color="auto"/>
        <w:right w:val="none" w:sz="0" w:space="0" w:color="auto"/>
      </w:divBdr>
      <w:divsChild>
        <w:div w:id="1707216901">
          <w:marLeft w:val="0"/>
          <w:marRight w:val="0"/>
          <w:marTop w:val="0"/>
          <w:marBottom w:val="0"/>
          <w:divBdr>
            <w:top w:val="none" w:sz="0" w:space="0" w:color="auto"/>
            <w:left w:val="none" w:sz="0" w:space="0" w:color="auto"/>
            <w:bottom w:val="none" w:sz="0" w:space="0" w:color="auto"/>
            <w:right w:val="none" w:sz="0" w:space="0" w:color="auto"/>
          </w:divBdr>
        </w:div>
      </w:divsChild>
    </w:div>
    <w:div w:id="699284502">
      <w:bodyDiv w:val="1"/>
      <w:marLeft w:val="0"/>
      <w:marRight w:val="0"/>
      <w:marTop w:val="0"/>
      <w:marBottom w:val="0"/>
      <w:divBdr>
        <w:top w:val="none" w:sz="0" w:space="0" w:color="auto"/>
        <w:left w:val="none" w:sz="0" w:space="0" w:color="auto"/>
        <w:bottom w:val="none" w:sz="0" w:space="0" w:color="auto"/>
        <w:right w:val="none" w:sz="0" w:space="0" w:color="auto"/>
      </w:divBdr>
    </w:div>
    <w:div w:id="777333760">
      <w:bodyDiv w:val="1"/>
      <w:marLeft w:val="0"/>
      <w:marRight w:val="0"/>
      <w:marTop w:val="0"/>
      <w:marBottom w:val="0"/>
      <w:divBdr>
        <w:top w:val="none" w:sz="0" w:space="0" w:color="auto"/>
        <w:left w:val="none" w:sz="0" w:space="0" w:color="auto"/>
        <w:bottom w:val="none" w:sz="0" w:space="0" w:color="auto"/>
        <w:right w:val="none" w:sz="0" w:space="0" w:color="auto"/>
      </w:divBdr>
    </w:div>
    <w:div w:id="849415435">
      <w:bodyDiv w:val="1"/>
      <w:marLeft w:val="0"/>
      <w:marRight w:val="0"/>
      <w:marTop w:val="0"/>
      <w:marBottom w:val="0"/>
      <w:divBdr>
        <w:top w:val="none" w:sz="0" w:space="0" w:color="auto"/>
        <w:left w:val="none" w:sz="0" w:space="0" w:color="auto"/>
        <w:bottom w:val="none" w:sz="0" w:space="0" w:color="auto"/>
        <w:right w:val="none" w:sz="0" w:space="0" w:color="auto"/>
      </w:divBdr>
      <w:divsChild>
        <w:div w:id="582954982">
          <w:marLeft w:val="0"/>
          <w:marRight w:val="0"/>
          <w:marTop w:val="0"/>
          <w:marBottom w:val="0"/>
          <w:divBdr>
            <w:top w:val="none" w:sz="0" w:space="0" w:color="auto"/>
            <w:left w:val="none" w:sz="0" w:space="0" w:color="auto"/>
            <w:bottom w:val="none" w:sz="0" w:space="0" w:color="auto"/>
            <w:right w:val="none" w:sz="0" w:space="0" w:color="auto"/>
          </w:divBdr>
          <w:divsChild>
            <w:div w:id="85191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8982">
      <w:bodyDiv w:val="1"/>
      <w:marLeft w:val="0"/>
      <w:marRight w:val="0"/>
      <w:marTop w:val="0"/>
      <w:marBottom w:val="0"/>
      <w:divBdr>
        <w:top w:val="none" w:sz="0" w:space="0" w:color="auto"/>
        <w:left w:val="none" w:sz="0" w:space="0" w:color="auto"/>
        <w:bottom w:val="none" w:sz="0" w:space="0" w:color="auto"/>
        <w:right w:val="none" w:sz="0" w:space="0" w:color="auto"/>
      </w:divBdr>
    </w:div>
    <w:div w:id="1160074794">
      <w:bodyDiv w:val="1"/>
      <w:marLeft w:val="0"/>
      <w:marRight w:val="0"/>
      <w:marTop w:val="0"/>
      <w:marBottom w:val="0"/>
      <w:divBdr>
        <w:top w:val="none" w:sz="0" w:space="0" w:color="auto"/>
        <w:left w:val="none" w:sz="0" w:space="0" w:color="auto"/>
        <w:bottom w:val="none" w:sz="0" w:space="0" w:color="auto"/>
        <w:right w:val="none" w:sz="0" w:space="0" w:color="auto"/>
      </w:divBdr>
    </w:div>
    <w:div w:id="1185753714">
      <w:bodyDiv w:val="1"/>
      <w:marLeft w:val="0"/>
      <w:marRight w:val="0"/>
      <w:marTop w:val="0"/>
      <w:marBottom w:val="0"/>
      <w:divBdr>
        <w:top w:val="none" w:sz="0" w:space="0" w:color="auto"/>
        <w:left w:val="none" w:sz="0" w:space="0" w:color="auto"/>
        <w:bottom w:val="none" w:sz="0" w:space="0" w:color="auto"/>
        <w:right w:val="none" w:sz="0" w:space="0" w:color="auto"/>
      </w:divBdr>
    </w:div>
    <w:div w:id="1201821201">
      <w:bodyDiv w:val="1"/>
      <w:marLeft w:val="0"/>
      <w:marRight w:val="0"/>
      <w:marTop w:val="0"/>
      <w:marBottom w:val="0"/>
      <w:divBdr>
        <w:top w:val="none" w:sz="0" w:space="0" w:color="auto"/>
        <w:left w:val="none" w:sz="0" w:space="0" w:color="auto"/>
        <w:bottom w:val="none" w:sz="0" w:space="0" w:color="auto"/>
        <w:right w:val="none" w:sz="0" w:space="0" w:color="auto"/>
      </w:divBdr>
      <w:divsChild>
        <w:div w:id="1943880449">
          <w:marLeft w:val="0"/>
          <w:marRight w:val="0"/>
          <w:marTop w:val="0"/>
          <w:marBottom w:val="0"/>
          <w:divBdr>
            <w:top w:val="none" w:sz="0" w:space="0" w:color="auto"/>
            <w:left w:val="none" w:sz="0" w:space="0" w:color="auto"/>
            <w:bottom w:val="none" w:sz="0" w:space="0" w:color="auto"/>
            <w:right w:val="none" w:sz="0" w:space="0" w:color="auto"/>
          </w:divBdr>
        </w:div>
        <w:div w:id="645546348">
          <w:marLeft w:val="0"/>
          <w:marRight w:val="0"/>
          <w:marTop w:val="0"/>
          <w:marBottom w:val="0"/>
          <w:divBdr>
            <w:top w:val="none" w:sz="0" w:space="0" w:color="auto"/>
            <w:left w:val="none" w:sz="0" w:space="0" w:color="auto"/>
            <w:bottom w:val="none" w:sz="0" w:space="0" w:color="auto"/>
            <w:right w:val="none" w:sz="0" w:space="0" w:color="auto"/>
          </w:divBdr>
        </w:div>
        <w:div w:id="1608999068">
          <w:marLeft w:val="0"/>
          <w:marRight w:val="0"/>
          <w:marTop w:val="0"/>
          <w:marBottom w:val="0"/>
          <w:divBdr>
            <w:top w:val="none" w:sz="0" w:space="0" w:color="auto"/>
            <w:left w:val="none" w:sz="0" w:space="0" w:color="auto"/>
            <w:bottom w:val="none" w:sz="0" w:space="0" w:color="auto"/>
            <w:right w:val="none" w:sz="0" w:space="0" w:color="auto"/>
          </w:divBdr>
        </w:div>
        <w:div w:id="1761172480">
          <w:marLeft w:val="0"/>
          <w:marRight w:val="0"/>
          <w:marTop w:val="0"/>
          <w:marBottom w:val="0"/>
          <w:divBdr>
            <w:top w:val="none" w:sz="0" w:space="0" w:color="auto"/>
            <w:left w:val="none" w:sz="0" w:space="0" w:color="auto"/>
            <w:bottom w:val="none" w:sz="0" w:space="0" w:color="auto"/>
            <w:right w:val="none" w:sz="0" w:space="0" w:color="auto"/>
          </w:divBdr>
        </w:div>
        <w:div w:id="256670031">
          <w:marLeft w:val="0"/>
          <w:marRight w:val="0"/>
          <w:marTop w:val="0"/>
          <w:marBottom w:val="0"/>
          <w:divBdr>
            <w:top w:val="none" w:sz="0" w:space="0" w:color="auto"/>
            <w:left w:val="none" w:sz="0" w:space="0" w:color="auto"/>
            <w:bottom w:val="none" w:sz="0" w:space="0" w:color="auto"/>
            <w:right w:val="none" w:sz="0" w:space="0" w:color="auto"/>
          </w:divBdr>
        </w:div>
        <w:div w:id="2008633713">
          <w:marLeft w:val="0"/>
          <w:marRight w:val="0"/>
          <w:marTop w:val="0"/>
          <w:marBottom w:val="0"/>
          <w:divBdr>
            <w:top w:val="none" w:sz="0" w:space="0" w:color="auto"/>
            <w:left w:val="none" w:sz="0" w:space="0" w:color="auto"/>
            <w:bottom w:val="none" w:sz="0" w:space="0" w:color="auto"/>
            <w:right w:val="none" w:sz="0" w:space="0" w:color="auto"/>
          </w:divBdr>
        </w:div>
        <w:div w:id="857618084">
          <w:marLeft w:val="0"/>
          <w:marRight w:val="0"/>
          <w:marTop w:val="0"/>
          <w:marBottom w:val="0"/>
          <w:divBdr>
            <w:top w:val="none" w:sz="0" w:space="0" w:color="auto"/>
            <w:left w:val="none" w:sz="0" w:space="0" w:color="auto"/>
            <w:bottom w:val="none" w:sz="0" w:space="0" w:color="auto"/>
            <w:right w:val="none" w:sz="0" w:space="0" w:color="auto"/>
          </w:divBdr>
        </w:div>
      </w:divsChild>
    </w:div>
    <w:div w:id="1210143144">
      <w:bodyDiv w:val="1"/>
      <w:marLeft w:val="0"/>
      <w:marRight w:val="0"/>
      <w:marTop w:val="0"/>
      <w:marBottom w:val="0"/>
      <w:divBdr>
        <w:top w:val="none" w:sz="0" w:space="0" w:color="auto"/>
        <w:left w:val="none" w:sz="0" w:space="0" w:color="auto"/>
        <w:bottom w:val="none" w:sz="0" w:space="0" w:color="auto"/>
        <w:right w:val="none" w:sz="0" w:space="0" w:color="auto"/>
      </w:divBdr>
    </w:div>
    <w:div w:id="1211916717">
      <w:bodyDiv w:val="1"/>
      <w:marLeft w:val="0"/>
      <w:marRight w:val="0"/>
      <w:marTop w:val="0"/>
      <w:marBottom w:val="0"/>
      <w:divBdr>
        <w:top w:val="none" w:sz="0" w:space="0" w:color="auto"/>
        <w:left w:val="none" w:sz="0" w:space="0" w:color="auto"/>
        <w:bottom w:val="none" w:sz="0" w:space="0" w:color="auto"/>
        <w:right w:val="none" w:sz="0" w:space="0" w:color="auto"/>
      </w:divBdr>
    </w:div>
    <w:div w:id="1226380802">
      <w:bodyDiv w:val="1"/>
      <w:marLeft w:val="0"/>
      <w:marRight w:val="0"/>
      <w:marTop w:val="0"/>
      <w:marBottom w:val="0"/>
      <w:divBdr>
        <w:top w:val="none" w:sz="0" w:space="0" w:color="auto"/>
        <w:left w:val="none" w:sz="0" w:space="0" w:color="auto"/>
        <w:bottom w:val="none" w:sz="0" w:space="0" w:color="auto"/>
        <w:right w:val="none" w:sz="0" w:space="0" w:color="auto"/>
      </w:divBdr>
    </w:div>
    <w:div w:id="1290167438">
      <w:bodyDiv w:val="1"/>
      <w:marLeft w:val="0"/>
      <w:marRight w:val="0"/>
      <w:marTop w:val="0"/>
      <w:marBottom w:val="0"/>
      <w:divBdr>
        <w:top w:val="none" w:sz="0" w:space="0" w:color="auto"/>
        <w:left w:val="none" w:sz="0" w:space="0" w:color="auto"/>
        <w:bottom w:val="none" w:sz="0" w:space="0" w:color="auto"/>
        <w:right w:val="none" w:sz="0" w:space="0" w:color="auto"/>
      </w:divBdr>
    </w:div>
    <w:div w:id="1297680086">
      <w:bodyDiv w:val="1"/>
      <w:marLeft w:val="0"/>
      <w:marRight w:val="0"/>
      <w:marTop w:val="0"/>
      <w:marBottom w:val="0"/>
      <w:divBdr>
        <w:top w:val="none" w:sz="0" w:space="0" w:color="auto"/>
        <w:left w:val="none" w:sz="0" w:space="0" w:color="auto"/>
        <w:bottom w:val="none" w:sz="0" w:space="0" w:color="auto"/>
        <w:right w:val="none" w:sz="0" w:space="0" w:color="auto"/>
      </w:divBdr>
    </w:div>
    <w:div w:id="1509826067">
      <w:bodyDiv w:val="1"/>
      <w:marLeft w:val="0"/>
      <w:marRight w:val="0"/>
      <w:marTop w:val="0"/>
      <w:marBottom w:val="0"/>
      <w:divBdr>
        <w:top w:val="none" w:sz="0" w:space="0" w:color="auto"/>
        <w:left w:val="none" w:sz="0" w:space="0" w:color="auto"/>
        <w:bottom w:val="none" w:sz="0" w:space="0" w:color="auto"/>
        <w:right w:val="none" w:sz="0" w:space="0" w:color="auto"/>
      </w:divBdr>
    </w:div>
    <w:div w:id="1515538910">
      <w:bodyDiv w:val="1"/>
      <w:marLeft w:val="0"/>
      <w:marRight w:val="0"/>
      <w:marTop w:val="0"/>
      <w:marBottom w:val="0"/>
      <w:divBdr>
        <w:top w:val="none" w:sz="0" w:space="0" w:color="auto"/>
        <w:left w:val="none" w:sz="0" w:space="0" w:color="auto"/>
        <w:bottom w:val="none" w:sz="0" w:space="0" w:color="auto"/>
        <w:right w:val="none" w:sz="0" w:space="0" w:color="auto"/>
      </w:divBdr>
    </w:div>
    <w:div w:id="1596210413">
      <w:bodyDiv w:val="1"/>
      <w:marLeft w:val="0"/>
      <w:marRight w:val="0"/>
      <w:marTop w:val="0"/>
      <w:marBottom w:val="0"/>
      <w:divBdr>
        <w:top w:val="none" w:sz="0" w:space="0" w:color="auto"/>
        <w:left w:val="none" w:sz="0" w:space="0" w:color="auto"/>
        <w:bottom w:val="none" w:sz="0" w:space="0" w:color="auto"/>
        <w:right w:val="none" w:sz="0" w:space="0" w:color="auto"/>
      </w:divBdr>
    </w:div>
    <w:div w:id="1617908608">
      <w:bodyDiv w:val="1"/>
      <w:marLeft w:val="0"/>
      <w:marRight w:val="0"/>
      <w:marTop w:val="0"/>
      <w:marBottom w:val="0"/>
      <w:divBdr>
        <w:top w:val="none" w:sz="0" w:space="0" w:color="auto"/>
        <w:left w:val="none" w:sz="0" w:space="0" w:color="auto"/>
        <w:bottom w:val="none" w:sz="0" w:space="0" w:color="auto"/>
        <w:right w:val="none" w:sz="0" w:space="0" w:color="auto"/>
      </w:divBdr>
    </w:div>
    <w:div w:id="1679382990">
      <w:bodyDiv w:val="1"/>
      <w:marLeft w:val="0"/>
      <w:marRight w:val="0"/>
      <w:marTop w:val="0"/>
      <w:marBottom w:val="0"/>
      <w:divBdr>
        <w:top w:val="none" w:sz="0" w:space="0" w:color="auto"/>
        <w:left w:val="none" w:sz="0" w:space="0" w:color="auto"/>
        <w:bottom w:val="none" w:sz="0" w:space="0" w:color="auto"/>
        <w:right w:val="none" w:sz="0" w:space="0" w:color="auto"/>
      </w:divBdr>
      <w:divsChild>
        <w:div w:id="323314818">
          <w:marLeft w:val="0"/>
          <w:marRight w:val="0"/>
          <w:marTop w:val="0"/>
          <w:marBottom w:val="0"/>
          <w:divBdr>
            <w:top w:val="none" w:sz="0" w:space="0" w:color="auto"/>
            <w:left w:val="none" w:sz="0" w:space="0" w:color="auto"/>
            <w:bottom w:val="none" w:sz="0" w:space="0" w:color="auto"/>
            <w:right w:val="none" w:sz="0" w:space="0" w:color="auto"/>
          </w:divBdr>
        </w:div>
      </w:divsChild>
    </w:div>
    <w:div w:id="1683897861">
      <w:bodyDiv w:val="1"/>
      <w:marLeft w:val="0"/>
      <w:marRight w:val="0"/>
      <w:marTop w:val="0"/>
      <w:marBottom w:val="0"/>
      <w:divBdr>
        <w:top w:val="none" w:sz="0" w:space="0" w:color="auto"/>
        <w:left w:val="none" w:sz="0" w:space="0" w:color="auto"/>
        <w:bottom w:val="none" w:sz="0" w:space="0" w:color="auto"/>
        <w:right w:val="none" w:sz="0" w:space="0" w:color="auto"/>
      </w:divBdr>
    </w:div>
    <w:div w:id="1784809276">
      <w:bodyDiv w:val="1"/>
      <w:marLeft w:val="0"/>
      <w:marRight w:val="0"/>
      <w:marTop w:val="0"/>
      <w:marBottom w:val="0"/>
      <w:divBdr>
        <w:top w:val="none" w:sz="0" w:space="0" w:color="auto"/>
        <w:left w:val="none" w:sz="0" w:space="0" w:color="auto"/>
        <w:bottom w:val="none" w:sz="0" w:space="0" w:color="auto"/>
        <w:right w:val="none" w:sz="0" w:space="0" w:color="auto"/>
      </w:divBdr>
    </w:div>
    <w:div w:id="1859082159">
      <w:bodyDiv w:val="1"/>
      <w:marLeft w:val="0"/>
      <w:marRight w:val="0"/>
      <w:marTop w:val="0"/>
      <w:marBottom w:val="0"/>
      <w:divBdr>
        <w:top w:val="none" w:sz="0" w:space="0" w:color="auto"/>
        <w:left w:val="none" w:sz="0" w:space="0" w:color="auto"/>
        <w:bottom w:val="none" w:sz="0" w:space="0" w:color="auto"/>
        <w:right w:val="none" w:sz="0" w:space="0" w:color="auto"/>
      </w:divBdr>
    </w:div>
    <w:div w:id="1860924195">
      <w:bodyDiv w:val="1"/>
      <w:marLeft w:val="0"/>
      <w:marRight w:val="0"/>
      <w:marTop w:val="0"/>
      <w:marBottom w:val="0"/>
      <w:divBdr>
        <w:top w:val="none" w:sz="0" w:space="0" w:color="auto"/>
        <w:left w:val="none" w:sz="0" w:space="0" w:color="auto"/>
        <w:bottom w:val="none" w:sz="0" w:space="0" w:color="auto"/>
        <w:right w:val="none" w:sz="0" w:space="0" w:color="auto"/>
      </w:divBdr>
    </w:div>
    <w:div w:id="1869097243">
      <w:bodyDiv w:val="1"/>
      <w:marLeft w:val="0"/>
      <w:marRight w:val="0"/>
      <w:marTop w:val="0"/>
      <w:marBottom w:val="0"/>
      <w:divBdr>
        <w:top w:val="none" w:sz="0" w:space="0" w:color="auto"/>
        <w:left w:val="none" w:sz="0" w:space="0" w:color="auto"/>
        <w:bottom w:val="none" w:sz="0" w:space="0" w:color="auto"/>
        <w:right w:val="none" w:sz="0" w:space="0" w:color="auto"/>
      </w:divBdr>
    </w:div>
    <w:div w:id="1895508269">
      <w:bodyDiv w:val="1"/>
      <w:marLeft w:val="0"/>
      <w:marRight w:val="0"/>
      <w:marTop w:val="0"/>
      <w:marBottom w:val="0"/>
      <w:divBdr>
        <w:top w:val="none" w:sz="0" w:space="0" w:color="auto"/>
        <w:left w:val="none" w:sz="0" w:space="0" w:color="auto"/>
        <w:bottom w:val="none" w:sz="0" w:space="0" w:color="auto"/>
        <w:right w:val="none" w:sz="0" w:space="0" w:color="auto"/>
      </w:divBdr>
    </w:div>
    <w:div w:id="1898660034">
      <w:bodyDiv w:val="1"/>
      <w:marLeft w:val="0"/>
      <w:marRight w:val="0"/>
      <w:marTop w:val="0"/>
      <w:marBottom w:val="0"/>
      <w:divBdr>
        <w:top w:val="none" w:sz="0" w:space="0" w:color="auto"/>
        <w:left w:val="none" w:sz="0" w:space="0" w:color="auto"/>
        <w:bottom w:val="none" w:sz="0" w:space="0" w:color="auto"/>
        <w:right w:val="none" w:sz="0" w:space="0" w:color="auto"/>
      </w:divBdr>
    </w:div>
    <w:div w:id="1915043614">
      <w:bodyDiv w:val="1"/>
      <w:marLeft w:val="0"/>
      <w:marRight w:val="0"/>
      <w:marTop w:val="0"/>
      <w:marBottom w:val="0"/>
      <w:divBdr>
        <w:top w:val="none" w:sz="0" w:space="0" w:color="auto"/>
        <w:left w:val="none" w:sz="0" w:space="0" w:color="auto"/>
        <w:bottom w:val="none" w:sz="0" w:space="0" w:color="auto"/>
        <w:right w:val="none" w:sz="0" w:space="0" w:color="auto"/>
      </w:divBdr>
      <w:divsChild>
        <w:div w:id="641008120">
          <w:marLeft w:val="0"/>
          <w:marRight w:val="0"/>
          <w:marTop w:val="0"/>
          <w:marBottom w:val="0"/>
          <w:divBdr>
            <w:top w:val="none" w:sz="0" w:space="0" w:color="auto"/>
            <w:left w:val="none" w:sz="0" w:space="0" w:color="auto"/>
            <w:bottom w:val="none" w:sz="0" w:space="0" w:color="auto"/>
            <w:right w:val="none" w:sz="0" w:space="0" w:color="auto"/>
          </w:divBdr>
        </w:div>
        <w:div w:id="2128502034">
          <w:marLeft w:val="0"/>
          <w:marRight w:val="0"/>
          <w:marTop w:val="0"/>
          <w:marBottom w:val="0"/>
          <w:divBdr>
            <w:top w:val="none" w:sz="0" w:space="0" w:color="auto"/>
            <w:left w:val="none" w:sz="0" w:space="0" w:color="auto"/>
            <w:bottom w:val="none" w:sz="0" w:space="0" w:color="auto"/>
            <w:right w:val="none" w:sz="0" w:space="0" w:color="auto"/>
          </w:divBdr>
        </w:div>
        <w:div w:id="514349187">
          <w:marLeft w:val="0"/>
          <w:marRight w:val="0"/>
          <w:marTop w:val="0"/>
          <w:marBottom w:val="0"/>
          <w:divBdr>
            <w:top w:val="none" w:sz="0" w:space="0" w:color="auto"/>
            <w:left w:val="none" w:sz="0" w:space="0" w:color="auto"/>
            <w:bottom w:val="none" w:sz="0" w:space="0" w:color="auto"/>
            <w:right w:val="none" w:sz="0" w:space="0" w:color="auto"/>
          </w:divBdr>
        </w:div>
        <w:div w:id="1220088383">
          <w:marLeft w:val="0"/>
          <w:marRight w:val="0"/>
          <w:marTop w:val="0"/>
          <w:marBottom w:val="0"/>
          <w:divBdr>
            <w:top w:val="none" w:sz="0" w:space="0" w:color="auto"/>
            <w:left w:val="none" w:sz="0" w:space="0" w:color="auto"/>
            <w:bottom w:val="none" w:sz="0" w:space="0" w:color="auto"/>
            <w:right w:val="none" w:sz="0" w:space="0" w:color="auto"/>
          </w:divBdr>
        </w:div>
        <w:div w:id="388454897">
          <w:marLeft w:val="0"/>
          <w:marRight w:val="0"/>
          <w:marTop w:val="0"/>
          <w:marBottom w:val="0"/>
          <w:divBdr>
            <w:top w:val="none" w:sz="0" w:space="0" w:color="auto"/>
            <w:left w:val="none" w:sz="0" w:space="0" w:color="auto"/>
            <w:bottom w:val="none" w:sz="0" w:space="0" w:color="auto"/>
            <w:right w:val="none" w:sz="0" w:space="0" w:color="auto"/>
          </w:divBdr>
        </w:div>
        <w:div w:id="100105716">
          <w:marLeft w:val="0"/>
          <w:marRight w:val="0"/>
          <w:marTop w:val="0"/>
          <w:marBottom w:val="0"/>
          <w:divBdr>
            <w:top w:val="none" w:sz="0" w:space="0" w:color="auto"/>
            <w:left w:val="none" w:sz="0" w:space="0" w:color="auto"/>
            <w:bottom w:val="none" w:sz="0" w:space="0" w:color="auto"/>
            <w:right w:val="none" w:sz="0" w:space="0" w:color="auto"/>
          </w:divBdr>
        </w:div>
        <w:div w:id="698549659">
          <w:marLeft w:val="0"/>
          <w:marRight w:val="0"/>
          <w:marTop w:val="0"/>
          <w:marBottom w:val="0"/>
          <w:divBdr>
            <w:top w:val="none" w:sz="0" w:space="0" w:color="auto"/>
            <w:left w:val="none" w:sz="0" w:space="0" w:color="auto"/>
            <w:bottom w:val="none" w:sz="0" w:space="0" w:color="auto"/>
            <w:right w:val="none" w:sz="0" w:space="0" w:color="auto"/>
          </w:divBdr>
        </w:div>
        <w:div w:id="470562287">
          <w:marLeft w:val="0"/>
          <w:marRight w:val="0"/>
          <w:marTop w:val="0"/>
          <w:marBottom w:val="0"/>
          <w:divBdr>
            <w:top w:val="none" w:sz="0" w:space="0" w:color="auto"/>
            <w:left w:val="none" w:sz="0" w:space="0" w:color="auto"/>
            <w:bottom w:val="none" w:sz="0" w:space="0" w:color="auto"/>
            <w:right w:val="none" w:sz="0" w:space="0" w:color="auto"/>
          </w:divBdr>
        </w:div>
        <w:div w:id="632058564">
          <w:marLeft w:val="0"/>
          <w:marRight w:val="0"/>
          <w:marTop w:val="0"/>
          <w:marBottom w:val="0"/>
          <w:divBdr>
            <w:top w:val="none" w:sz="0" w:space="0" w:color="auto"/>
            <w:left w:val="none" w:sz="0" w:space="0" w:color="auto"/>
            <w:bottom w:val="none" w:sz="0" w:space="0" w:color="auto"/>
            <w:right w:val="none" w:sz="0" w:space="0" w:color="auto"/>
          </w:divBdr>
        </w:div>
        <w:div w:id="32073266">
          <w:marLeft w:val="0"/>
          <w:marRight w:val="0"/>
          <w:marTop w:val="0"/>
          <w:marBottom w:val="0"/>
          <w:divBdr>
            <w:top w:val="none" w:sz="0" w:space="0" w:color="auto"/>
            <w:left w:val="none" w:sz="0" w:space="0" w:color="auto"/>
            <w:bottom w:val="none" w:sz="0" w:space="0" w:color="auto"/>
            <w:right w:val="none" w:sz="0" w:space="0" w:color="auto"/>
          </w:divBdr>
        </w:div>
        <w:div w:id="866721318">
          <w:marLeft w:val="0"/>
          <w:marRight w:val="0"/>
          <w:marTop w:val="0"/>
          <w:marBottom w:val="0"/>
          <w:divBdr>
            <w:top w:val="none" w:sz="0" w:space="0" w:color="auto"/>
            <w:left w:val="none" w:sz="0" w:space="0" w:color="auto"/>
            <w:bottom w:val="none" w:sz="0" w:space="0" w:color="auto"/>
            <w:right w:val="none" w:sz="0" w:space="0" w:color="auto"/>
          </w:divBdr>
        </w:div>
        <w:div w:id="837381115">
          <w:marLeft w:val="0"/>
          <w:marRight w:val="0"/>
          <w:marTop w:val="0"/>
          <w:marBottom w:val="0"/>
          <w:divBdr>
            <w:top w:val="none" w:sz="0" w:space="0" w:color="auto"/>
            <w:left w:val="none" w:sz="0" w:space="0" w:color="auto"/>
            <w:bottom w:val="none" w:sz="0" w:space="0" w:color="auto"/>
            <w:right w:val="none" w:sz="0" w:space="0" w:color="auto"/>
          </w:divBdr>
        </w:div>
        <w:div w:id="496727230">
          <w:marLeft w:val="0"/>
          <w:marRight w:val="0"/>
          <w:marTop w:val="0"/>
          <w:marBottom w:val="0"/>
          <w:divBdr>
            <w:top w:val="none" w:sz="0" w:space="0" w:color="auto"/>
            <w:left w:val="none" w:sz="0" w:space="0" w:color="auto"/>
            <w:bottom w:val="none" w:sz="0" w:space="0" w:color="auto"/>
            <w:right w:val="none" w:sz="0" w:space="0" w:color="auto"/>
          </w:divBdr>
        </w:div>
        <w:div w:id="1106585408">
          <w:marLeft w:val="0"/>
          <w:marRight w:val="0"/>
          <w:marTop w:val="0"/>
          <w:marBottom w:val="0"/>
          <w:divBdr>
            <w:top w:val="none" w:sz="0" w:space="0" w:color="auto"/>
            <w:left w:val="none" w:sz="0" w:space="0" w:color="auto"/>
            <w:bottom w:val="none" w:sz="0" w:space="0" w:color="auto"/>
            <w:right w:val="none" w:sz="0" w:space="0" w:color="auto"/>
          </w:divBdr>
        </w:div>
        <w:div w:id="1688481116">
          <w:marLeft w:val="0"/>
          <w:marRight w:val="0"/>
          <w:marTop w:val="0"/>
          <w:marBottom w:val="0"/>
          <w:divBdr>
            <w:top w:val="none" w:sz="0" w:space="0" w:color="auto"/>
            <w:left w:val="none" w:sz="0" w:space="0" w:color="auto"/>
            <w:bottom w:val="none" w:sz="0" w:space="0" w:color="auto"/>
            <w:right w:val="none" w:sz="0" w:space="0" w:color="auto"/>
          </w:divBdr>
        </w:div>
        <w:div w:id="1140809380">
          <w:marLeft w:val="0"/>
          <w:marRight w:val="0"/>
          <w:marTop w:val="0"/>
          <w:marBottom w:val="0"/>
          <w:divBdr>
            <w:top w:val="none" w:sz="0" w:space="0" w:color="auto"/>
            <w:left w:val="none" w:sz="0" w:space="0" w:color="auto"/>
            <w:bottom w:val="none" w:sz="0" w:space="0" w:color="auto"/>
            <w:right w:val="none" w:sz="0" w:space="0" w:color="auto"/>
          </w:divBdr>
        </w:div>
        <w:div w:id="1515192369">
          <w:marLeft w:val="0"/>
          <w:marRight w:val="0"/>
          <w:marTop w:val="0"/>
          <w:marBottom w:val="0"/>
          <w:divBdr>
            <w:top w:val="none" w:sz="0" w:space="0" w:color="auto"/>
            <w:left w:val="none" w:sz="0" w:space="0" w:color="auto"/>
            <w:bottom w:val="none" w:sz="0" w:space="0" w:color="auto"/>
            <w:right w:val="none" w:sz="0" w:space="0" w:color="auto"/>
          </w:divBdr>
        </w:div>
      </w:divsChild>
    </w:div>
    <w:div w:id="1963803782">
      <w:bodyDiv w:val="1"/>
      <w:marLeft w:val="0"/>
      <w:marRight w:val="0"/>
      <w:marTop w:val="0"/>
      <w:marBottom w:val="0"/>
      <w:divBdr>
        <w:top w:val="none" w:sz="0" w:space="0" w:color="auto"/>
        <w:left w:val="none" w:sz="0" w:space="0" w:color="auto"/>
        <w:bottom w:val="none" w:sz="0" w:space="0" w:color="auto"/>
        <w:right w:val="none" w:sz="0" w:space="0" w:color="auto"/>
      </w:divBdr>
    </w:div>
    <w:div w:id="2014412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hyperlink" Target="http://www.pugetsoundnearshore.org/technical_papers/strategic_needs_assessment_final.pdf"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tif"/><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1CF5B-263C-AF4D-A8BD-274EBFC17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18229</Words>
  <Characters>103910</Characters>
  <Application>Microsoft Macintosh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Manager/>
  <Company>U.S. Geological Survey</Company>
  <LinksUpToDate>false</LinksUpToDate>
  <CharactersWithSpaces>121896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Puget Sound Pressures Assessment</dc:title>
  <dc:subject/>
  <dc:creator>William Labiosa</dc:creator>
  <cp:keywords/>
  <dc:description/>
  <cp:lastModifiedBy>Labiosa, Bill</cp:lastModifiedBy>
  <cp:revision>3</cp:revision>
  <cp:lastPrinted>2014-03-13T20:34:00Z</cp:lastPrinted>
  <dcterms:created xsi:type="dcterms:W3CDTF">2014-03-13T22:46:00Z</dcterms:created>
  <dcterms:modified xsi:type="dcterms:W3CDTF">2014-04-24T21:08:00Z</dcterms:modified>
  <cp:category/>
</cp:coreProperties>
</file>